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49DDB">
      <w:pPr>
        <w:spacing w:line="560" w:lineRule="exact"/>
        <w:jc w:val="center"/>
        <w:rPr>
          <w:rFonts w:hint="eastAsia" w:ascii="方正小标宋简体" w:hAnsi="方正小标宋简体" w:eastAsia="方正小标宋简体" w:cs="方正小标宋简体"/>
          <w:b w:val="0"/>
          <w:bCs w:val="0"/>
          <w:color w:val="auto"/>
          <w:sz w:val="44"/>
          <w:szCs w:val="40"/>
          <w:lang w:eastAsia="zh-CN"/>
        </w:rPr>
      </w:pPr>
    </w:p>
    <w:p w14:paraId="195B40F1">
      <w:pPr>
        <w:spacing w:line="560" w:lineRule="exact"/>
        <w:jc w:val="center"/>
        <w:rPr>
          <w:rFonts w:hint="eastAsia" w:ascii="方正小标宋简体" w:hAnsi="方正小标宋简体" w:eastAsia="方正小标宋简体" w:cs="方正小标宋简体"/>
          <w:b w:val="0"/>
          <w:bCs w:val="0"/>
          <w:color w:val="auto"/>
          <w:sz w:val="44"/>
          <w:szCs w:val="40"/>
          <w:lang w:eastAsia="zh-CN"/>
        </w:rPr>
      </w:pPr>
      <w:r>
        <w:rPr>
          <w:rFonts w:hint="eastAsia" w:ascii="方正小标宋简体" w:hAnsi="方正小标宋简体" w:eastAsia="方正小标宋简体" w:cs="方正小标宋简体"/>
          <w:b w:val="0"/>
          <w:bCs w:val="0"/>
          <w:color w:val="auto"/>
          <w:sz w:val="44"/>
          <w:szCs w:val="40"/>
          <w:lang w:eastAsia="zh-CN"/>
        </w:rPr>
        <w:t>2026年安徽省职业技能竞赛——</w:t>
      </w:r>
    </w:p>
    <w:p w14:paraId="5CD71A17">
      <w:pPr>
        <w:spacing w:line="560" w:lineRule="exact"/>
        <w:ind w:left="-266" w:leftChars="-95" w:right="-123" w:rightChars="-44"/>
        <w:jc w:val="center"/>
        <w:rPr>
          <w:rFonts w:hint="eastAsia" w:ascii="方正小标宋简体" w:hAnsi="方正小标宋简体" w:eastAsia="方正小标宋简体" w:cs="方正小标宋简体"/>
          <w:b w:val="0"/>
          <w:bCs w:val="0"/>
          <w:color w:val="auto"/>
          <w:sz w:val="44"/>
          <w:szCs w:val="40"/>
          <w:lang w:eastAsia="zh-CN"/>
        </w:rPr>
      </w:pPr>
      <w:r>
        <w:rPr>
          <w:rFonts w:hint="eastAsia" w:ascii="方正小标宋简体" w:hAnsi="方正小标宋简体" w:eastAsia="方正小标宋简体" w:cs="方正小标宋简体"/>
          <w:b w:val="0"/>
          <w:bCs w:val="0"/>
          <w:color w:val="auto"/>
          <w:sz w:val="44"/>
          <w:szCs w:val="40"/>
          <w:lang w:eastAsia="zh-CN"/>
        </w:rPr>
        <w:t>第二十二届“振兴杯”全省青年职业技能大赛</w:t>
      </w:r>
    </w:p>
    <w:p w14:paraId="4310DB91">
      <w:pPr>
        <w:spacing w:line="560" w:lineRule="exact"/>
        <w:jc w:val="center"/>
        <w:rPr>
          <w:rFonts w:hint="eastAsia" w:ascii="方正小标宋简体" w:hAnsi="方正小标宋简体" w:eastAsia="方正小标宋简体" w:cs="方正小标宋简体"/>
          <w:b w:val="0"/>
          <w:bCs w:val="0"/>
          <w:color w:val="auto"/>
          <w:sz w:val="40"/>
          <w:szCs w:val="36"/>
          <w:lang w:eastAsia="zh-CN"/>
        </w:rPr>
      </w:pPr>
      <w:r>
        <w:rPr>
          <w:rFonts w:hint="eastAsia" w:ascii="方正小标宋简体" w:hAnsi="方正小标宋简体" w:eastAsia="方正小标宋简体" w:cs="方正小标宋简体"/>
          <w:b w:val="0"/>
          <w:bCs w:val="0"/>
          <w:color w:val="auto"/>
          <w:sz w:val="44"/>
          <w:szCs w:val="40"/>
          <w:lang w:eastAsia="zh-CN"/>
        </w:rPr>
        <w:t>无人机驾驶员赛</w:t>
      </w:r>
      <w:r>
        <w:rPr>
          <w:rFonts w:hint="eastAsia" w:ascii="方正小标宋简体" w:hAnsi="方正小标宋简体" w:eastAsia="方正小标宋简体" w:cs="方正小标宋简体"/>
          <w:b w:val="0"/>
          <w:bCs w:val="0"/>
          <w:color w:val="auto"/>
          <w:sz w:val="44"/>
          <w:szCs w:val="40"/>
          <w:lang w:val="en-US" w:eastAsia="zh-CN"/>
        </w:rPr>
        <w:t>项</w:t>
      </w:r>
      <w:r>
        <w:rPr>
          <w:rFonts w:hint="eastAsia" w:ascii="方正小标宋简体" w:hAnsi="方正小标宋简体" w:eastAsia="方正小标宋简体" w:cs="方正小标宋简体"/>
          <w:b w:val="0"/>
          <w:bCs w:val="0"/>
          <w:color w:val="auto"/>
          <w:sz w:val="44"/>
          <w:szCs w:val="40"/>
          <w:lang w:eastAsia="zh-CN"/>
        </w:rPr>
        <w:t>技术文件</w:t>
      </w:r>
    </w:p>
    <w:p w14:paraId="78C42323">
      <w:pPr>
        <w:pStyle w:val="2"/>
        <w:spacing w:line="259" w:lineRule="auto"/>
        <w:rPr>
          <w:rFonts w:hint="eastAsia" w:ascii="仿宋" w:hAnsi="仿宋" w:eastAsia="仿宋" w:cs="仿宋"/>
          <w:color w:val="auto"/>
          <w:lang w:eastAsia="zh-CN"/>
        </w:rPr>
      </w:pPr>
    </w:p>
    <w:p w14:paraId="1784F146">
      <w:pPr>
        <w:pStyle w:val="2"/>
        <w:spacing w:line="259" w:lineRule="auto"/>
        <w:rPr>
          <w:rFonts w:hint="eastAsia" w:ascii="仿宋" w:hAnsi="仿宋" w:eastAsia="仿宋" w:cs="仿宋"/>
          <w:color w:val="auto"/>
          <w:lang w:eastAsia="zh-CN"/>
        </w:rPr>
      </w:pPr>
    </w:p>
    <w:p w14:paraId="53125C09">
      <w:pPr>
        <w:rPr>
          <w:rFonts w:hint="eastAsia" w:ascii="仿宋" w:hAnsi="仿宋" w:eastAsia="仿宋" w:cs="仿宋"/>
          <w:color w:val="auto"/>
          <w:lang w:eastAsia="zh-CN"/>
        </w:rPr>
      </w:pPr>
    </w:p>
    <w:p w14:paraId="0014CC88">
      <w:pPr>
        <w:rPr>
          <w:color w:val="auto"/>
          <w:lang w:eastAsia="zh-CN"/>
        </w:rPr>
      </w:pPr>
    </w:p>
    <w:p w14:paraId="38F735E7">
      <w:pPr>
        <w:pStyle w:val="2"/>
        <w:spacing w:line="259" w:lineRule="auto"/>
        <w:rPr>
          <w:rFonts w:hint="eastAsia" w:ascii="仿宋" w:hAnsi="仿宋" w:eastAsia="仿宋" w:cs="仿宋"/>
          <w:color w:val="auto"/>
          <w:lang w:eastAsia="zh-CN"/>
        </w:rPr>
      </w:pPr>
    </w:p>
    <w:p w14:paraId="3FDEC870">
      <w:pPr>
        <w:pStyle w:val="2"/>
        <w:spacing w:line="251" w:lineRule="auto"/>
        <w:jc w:val="center"/>
        <w:rPr>
          <w:rFonts w:hint="eastAsia" w:ascii="方正小标宋简体" w:hAnsi="方正小标宋简体" w:eastAsia="方正小标宋简体" w:cs="方正小标宋简体"/>
          <w:b w:val="0"/>
          <w:bCs w:val="0"/>
          <w:color w:val="auto"/>
          <w:sz w:val="52"/>
          <w:szCs w:val="52"/>
          <w:lang w:eastAsia="zh-CN"/>
        </w:rPr>
      </w:pPr>
      <w:r>
        <w:rPr>
          <w:rFonts w:hint="eastAsia" w:ascii="方正小标宋简体" w:hAnsi="方正小标宋简体" w:eastAsia="方正小标宋简体" w:cs="方正小标宋简体"/>
          <w:b w:val="0"/>
          <w:bCs w:val="0"/>
          <w:color w:val="auto"/>
          <w:sz w:val="52"/>
          <w:szCs w:val="52"/>
          <w:lang w:eastAsia="zh-CN"/>
        </w:rPr>
        <w:t>无人机驾驶员</w:t>
      </w:r>
    </w:p>
    <w:p w14:paraId="4E0C8CA1">
      <w:pPr>
        <w:pStyle w:val="2"/>
        <w:spacing w:line="251" w:lineRule="auto"/>
        <w:jc w:val="center"/>
        <w:rPr>
          <w:rFonts w:hint="eastAsia" w:ascii="方正小标宋简体" w:hAnsi="方正小标宋简体" w:eastAsia="方正小标宋简体" w:cs="方正小标宋简体"/>
          <w:b w:val="0"/>
          <w:bCs w:val="0"/>
          <w:color w:val="auto"/>
          <w:sz w:val="52"/>
          <w:szCs w:val="52"/>
          <w:lang w:eastAsia="zh-CN"/>
        </w:rPr>
      </w:pPr>
      <w:r>
        <w:rPr>
          <w:rFonts w:hint="eastAsia" w:ascii="方正小标宋简体" w:hAnsi="方正小标宋简体" w:eastAsia="方正小标宋简体" w:cs="方正小标宋简体"/>
          <w:b w:val="0"/>
          <w:bCs w:val="0"/>
          <w:color w:val="auto"/>
          <w:sz w:val="40"/>
          <w:szCs w:val="40"/>
          <w:lang w:eastAsia="zh-CN"/>
        </w:rPr>
        <w:t>（安防无人机驾驶员）</w:t>
      </w:r>
    </w:p>
    <w:p w14:paraId="763B8AC4">
      <w:pPr>
        <w:pStyle w:val="2"/>
        <w:spacing w:line="252" w:lineRule="auto"/>
        <w:rPr>
          <w:rFonts w:hint="eastAsia" w:ascii="宋体" w:hAnsi="宋体" w:eastAsia="宋体" w:cs="宋体"/>
          <w:color w:val="auto"/>
          <w:lang w:eastAsia="zh-CN"/>
        </w:rPr>
      </w:pPr>
    </w:p>
    <w:p w14:paraId="654789A5">
      <w:pPr>
        <w:pStyle w:val="2"/>
        <w:spacing w:line="252" w:lineRule="auto"/>
        <w:rPr>
          <w:rFonts w:hint="eastAsia" w:ascii="宋体" w:hAnsi="宋体" w:eastAsia="宋体" w:cs="宋体"/>
          <w:color w:val="auto"/>
          <w:lang w:eastAsia="zh-CN"/>
        </w:rPr>
      </w:pPr>
    </w:p>
    <w:p w14:paraId="58B1CCB1">
      <w:pPr>
        <w:rPr>
          <w:rFonts w:hint="eastAsia"/>
          <w:color w:val="auto"/>
          <w:lang w:eastAsia="zh-CN"/>
        </w:rPr>
      </w:pPr>
    </w:p>
    <w:tbl>
      <w:tblPr>
        <w:tblStyle w:val="11"/>
        <w:tblW w:w="4708" w:type="pct"/>
        <w:tblInd w:w="40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91"/>
        <w:gridCol w:w="5123"/>
      </w:tblGrid>
      <w:tr w14:paraId="0F74E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919" w:type="pct"/>
            <w:vMerge w:val="restart"/>
            <w:vAlign w:val="center"/>
          </w:tcPr>
          <w:p w14:paraId="0478764E">
            <w:pPr>
              <w:pStyle w:val="2"/>
              <w:widowControl w:val="0"/>
              <w:spacing w:line="252" w:lineRule="auto"/>
              <w:jc w:val="center"/>
              <w:rPr>
                <w:rFonts w:hint="eastAsia" w:ascii="黑体" w:hAnsi="黑体" w:eastAsia="黑体" w:cs="黑体"/>
                <w:b w:val="0"/>
                <w:bCs w:val="0"/>
                <w:color w:val="auto"/>
                <w:lang w:eastAsia="zh-CN"/>
              </w:rPr>
            </w:pPr>
            <w:r>
              <w:rPr>
                <w:rFonts w:hint="eastAsia" w:ascii="黑体" w:hAnsi="黑体" w:eastAsia="黑体" w:cs="黑体"/>
                <w:b w:val="0"/>
                <w:bCs w:val="0"/>
                <w:color w:val="auto"/>
                <w:sz w:val="30"/>
                <w:szCs w:val="30"/>
                <w:lang w:eastAsia="zh-CN"/>
              </w:rPr>
              <w:t>主办单位</w:t>
            </w:r>
          </w:p>
        </w:tc>
        <w:tc>
          <w:tcPr>
            <w:tcW w:w="3080" w:type="pct"/>
            <w:vAlign w:val="center"/>
          </w:tcPr>
          <w:p w14:paraId="1C5F4F60">
            <w:pPr>
              <w:pStyle w:val="2"/>
              <w:widowControl w:val="0"/>
              <w:spacing w:line="252" w:lineRule="auto"/>
              <w:jc w:val="distribute"/>
              <w:rPr>
                <w:rFonts w:hint="eastAsia" w:ascii="黑体" w:hAnsi="黑体" w:eastAsia="黑体" w:cs="黑体"/>
                <w:b w:val="0"/>
                <w:bCs w:val="0"/>
                <w:color w:val="auto"/>
                <w:lang w:eastAsia="zh-CN"/>
              </w:rPr>
            </w:pPr>
            <w:r>
              <w:rPr>
                <w:rFonts w:hint="eastAsia" w:ascii="黑体" w:hAnsi="黑体" w:eastAsia="黑体" w:cs="黑体"/>
                <w:b w:val="0"/>
                <w:bCs w:val="0"/>
                <w:color w:val="auto"/>
                <w:sz w:val="30"/>
                <w:szCs w:val="30"/>
                <w:lang w:eastAsia="zh-CN"/>
              </w:rPr>
              <w:t>共青团安徽省委员会</w:t>
            </w:r>
          </w:p>
        </w:tc>
      </w:tr>
      <w:tr w14:paraId="6F4BF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919" w:type="pct"/>
            <w:vMerge w:val="continue"/>
            <w:vAlign w:val="center"/>
          </w:tcPr>
          <w:p w14:paraId="122EA766">
            <w:pPr>
              <w:pStyle w:val="2"/>
              <w:widowControl w:val="0"/>
              <w:spacing w:line="252" w:lineRule="auto"/>
              <w:jc w:val="center"/>
              <w:rPr>
                <w:rFonts w:hint="eastAsia" w:ascii="黑体" w:hAnsi="黑体" w:eastAsia="黑体" w:cs="黑体"/>
                <w:b w:val="0"/>
                <w:bCs w:val="0"/>
                <w:color w:val="auto"/>
                <w:lang w:eastAsia="zh-CN"/>
              </w:rPr>
            </w:pPr>
          </w:p>
        </w:tc>
        <w:tc>
          <w:tcPr>
            <w:tcW w:w="3080" w:type="pct"/>
            <w:vAlign w:val="center"/>
          </w:tcPr>
          <w:p w14:paraId="22D8B95E">
            <w:pPr>
              <w:pStyle w:val="2"/>
              <w:widowControl w:val="0"/>
              <w:spacing w:line="252" w:lineRule="auto"/>
              <w:jc w:val="distribute"/>
              <w:rPr>
                <w:rFonts w:hint="eastAsia" w:ascii="黑体" w:hAnsi="黑体" w:eastAsia="黑体" w:cs="黑体"/>
                <w:b w:val="0"/>
                <w:bCs w:val="0"/>
                <w:color w:val="auto"/>
                <w:lang w:eastAsia="zh-CN"/>
              </w:rPr>
            </w:pPr>
            <w:r>
              <w:rPr>
                <w:rFonts w:hint="eastAsia" w:ascii="黑体" w:hAnsi="黑体" w:eastAsia="黑体" w:cs="黑体"/>
                <w:b w:val="0"/>
                <w:bCs w:val="0"/>
                <w:snapToGrid/>
                <w:color w:val="auto"/>
                <w:kern w:val="2"/>
                <w:sz w:val="30"/>
                <w:szCs w:val="30"/>
                <w:lang w:eastAsia="zh-CN"/>
              </w:rPr>
              <w:t>安徽省人力资源和社会保障厅</w:t>
            </w:r>
          </w:p>
        </w:tc>
      </w:tr>
      <w:tr w14:paraId="5D27E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1919" w:type="pct"/>
            <w:vAlign w:val="center"/>
          </w:tcPr>
          <w:p w14:paraId="518DF0A2">
            <w:pPr>
              <w:pStyle w:val="2"/>
              <w:widowControl w:val="0"/>
              <w:spacing w:line="252" w:lineRule="auto"/>
              <w:jc w:val="center"/>
              <w:rPr>
                <w:rFonts w:hint="eastAsia" w:ascii="黑体" w:hAnsi="黑体" w:eastAsia="黑体" w:cs="黑体"/>
                <w:b w:val="0"/>
                <w:bCs w:val="0"/>
                <w:color w:val="auto"/>
                <w:lang w:eastAsia="zh-CN"/>
              </w:rPr>
            </w:pPr>
            <w:r>
              <w:rPr>
                <w:rFonts w:hint="eastAsia" w:ascii="黑体" w:hAnsi="黑体" w:eastAsia="黑体" w:cs="黑体"/>
                <w:b w:val="0"/>
                <w:bCs w:val="0"/>
                <w:color w:val="auto"/>
                <w:sz w:val="30"/>
                <w:szCs w:val="30"/>
                <w:lang w:eastAsia="zh-CN"/>
              </w:rPr>
              <w:t>承办单位</w:t>
            </w:r>
          </w:p>
        </w:tc>
        <w:tc>
          <w:tcPr>
            <w:tcW w:w="3080" w:type="pct"/>
            <w:vAlign w:val="center"/>
          </w:tcPr>
          <w:p w14:paraId="4D555197">
            <w:pPr>
              <w:pStyle w:val="2"/>
              <w:widowControl w:val="0"/>
              <w:spacing w:line="252" w:lineRule="auto"/>
              <w:jc w:val="distribute"/>
              <w:rPr>
                <w:rFonts w:hint="eastAsia" w:ascii="黑体" w:hAnsi="黑体" w:eastAsia="黑体" w:cs="黑体"/>
                <w:b w:val="0"/>
                <w:bCs w:val="0"/>
                <w:color w:val="auto"/>
                <w:lang w:eastAsia="zh-CN"/>
              </w:rPr>
            </w:pPr>
            <w:r>
              <w:rPr>
                <w:rFonts w:hint="eastAsia" w:ascii="黑体" w:hAnsi="黑体" w:eastAsia="黑体" w:cs="黑体"/>
                <w:b w:val="0"/>
                <w:bCs w:val="0"/>
                <w:color w:val="auto"/>
                <w:sz w:val="30"/>
                <w:szCs w:val="30"/>
                <w:lang w:eastAsia="zh-CN"/>
              </w:rPr>
              <w:t>安徽国际商务职业学院</w:t>
            </w:r>
          </w:p>
        </w:tc>
      </w:tr>
      <w:tr w14:paraId="2A5BC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 w:hRule="atLeast"/>
        </w:trPr>
        <w:tc>
          <w:tcPr>
            <w:tcW w:w="1919" w:type="pct"/>
            <w:vAlign w:val="center"/>
          </w:tcPr>
          <w:p w14:paraId="4AB2C7D2">
            <w:pPr>
              <w:pStyle w:val="2"/>
              <w:widowControl w:val="0"/>
              <w:spacing w:line="252" w:lineRule="auto"/>
              <w:jc w:val="center"/>
              <w:rPr>
                <w:rFonts w:hint="eastAsia" w:ascii="黑体" w:hAnsi="黑体" w:eastAsia="黑体" w:cs="黑体"/>
                <w:b w:val="0"/>
                <w:bCs w:val="0"/>
                <w:color w:val="auto"/>
                <w:lang w:eastAsia="zh-CN"/>
              </w:rPr>
            </w:pPr>
            <w:r>
              <w:rPr>
                <w:rFonts w:hint="eastAsia" w:ascii="黑体" w:hAnsi="黑体" w:eastAsia="黑体" w:cs="黑体"/>
                <w:b w:val="0"/>
                <w:bCs w:val="0"/>
                <w:color w:val="auto"/>
                <w:sz w:val="30"/>
                <w:szCs w:val="30"/>
                <w:lang w:eastAsia="zh-CN"/>
              </w:rPr>
              <w:t>技术支持单位</w:t>
            </w:r>
          </w:p>
        </w:tc>
        <w:tc>
          <w:tcPr>
            <w:tcW w:w="3080" w:type="pct"/>
            <w:vAlign w:val="center"/>
          </w:tcPr>
          <w:p w14:paraId="47A89B54">
            <w:pPr>
              <w:pStyle w:val="2"/>
              <w:widowControl w:val="0"/>
              <w:spacing w:line="252" w:lineRule="auto"/>
              <w:jc w:val="distribute"/>
              <w:rPr>
                <w:rFonts w:hint="eastAsia" w:ascii="黑体" w:hAnsi="黑体" w:eastAsia="黑体" w:cs="黑体"/>
                <w:b w:val="0"/>
                <w:bCs w:val="0"/>
                <w:color w:val="auto"/>
                <w:lang w:eastAsia="zh-CN"/>
              </w:rPr>
            </w:pPr>
            <w:r>
              <w:rPr>
                <w:rFonts w:hint="eastAsia" w:ascii="黑体" w:hAnsi="黑体" w:eastAsia="黑体" w:cs="黑体"/>
                <w:b w:val="0"/>
                <w:bCs w:val="0"/>
                <w:color w:val="auto"/>
                <w:sz w:val="30"/>
                <w:szCs w:val="30"/>
                <w:lang w:eastAsia="zh-CN"/>
              </w:rPr>
              <w:t>合肥众飞科技技术有限公司</w:t>
            </w:r>
          </w:p>
        </w:tc>
      </w:tr>
    </w:tbl>
    <w:p w14:paraId="6BB162CC">
      <w:pPr>
        <w:pStyle w:val="2"/>
        <w:spacing w:line="252" w:lineRule="auto"/>
        <w:rPr>
          <w:rFonts w:hint="eastAsia" w:ascii="宋体" w:hAnsi="宋体" w:eastAsia="宋体" w:cs="宋体"/>
          <w:b w:val="0"/>
          <w:bCs w:val="0"/>
          <w:color w:val="auto"/>
          <w:lang w:eastAsia="zh-CN"/>
        </w:rPr>
      </w:pPr>
    </w:p>
    <w:p w14:paraId="090C56E8">
      <w:pPr>
        <w:spacing w:line="360" w:lineRule="auto"/>
        <w:jc w:val="center"/>
        <w:rPr>
          <w:rFonts w:hint="eastAsia" w:ascii="黑体" w:hAnsi="宋体" w:eastAsia="黑体" w:cs="黑体"/>
          <w:b w:val="0"/>
          <w:bCs w:val="0"/>
          <w:snapToGrid/>
          <w:color w:val="auto"/>
          <w:sz w:val="31"/>
          <w:szCs w:val="31"/>
          <w:lang w:eastAsia="zh-CN" w:bidi="ar"/>
        </w:rPr>
      </w:pPr>
    </w:p>
    <w:p w14:paraId="60A9D6E1">
      <w:pPr>
        <w:spacing w:line="360" w:lineRule="auto"/>
        <w:jc w:val="center"/>
        <w:rPr>
          <w:rFonts w:hint="eastAsia" w:ascii="黑体" w:hAnsi="宋体" w:eastAsia="黑体" w:cs="黑体"/>
          <w:b w:val="0"/>
          <w:bCs w:val="0"/>
          <w:snapToGrid/>
          <w:color w:val="auto"/>
          <w:sz w:val="31"/>
          <w:szCs w:val="31"/>
          <w:lang w:eastAsia="zh-CN" w:bidi="ar"/>
        </w:rPr>
      </w:pPr>
    </w:p>
    <w:p w14:paraId="013A0CB7">
      <w:pPr>
        <w:pStyle w:val="2"/>
        <w:rPr>
          <w:rFonts w:hint="eastAsia" w:ascii="黑体" w:hAnsi="宋体" w:eastAsia="黑体" w:cs="黑体"/>
          <w:b w:val="0"/>
          <w:bCs w:val="0"/>
          <w:snapToGrid/>
          <w:color w:val="auto"/>
          <w:sz w:val="31"/>
          <w:szCs w:val="31"/>
          <w:lang w:eastAsia="zh-CN" w:bidi="ar"/>
        </w:rPr>
      </w:pPr>
    </w:p>
    <w:p w14:paraId="1A6FC2E7">
      <w:pPr>
        <w:spacing w:line="360" w:lineRule="auto"/>
        <w:jc w:val="center"/>
        <w:rPr>
          <w:rFonts w:hint="eastAsia" w:ascii="仿宋" w:hAnsi="仿宋" w:eastAsia="仿宋" w:cs="仿宋"/>
          <w:b w:val="0"/>
          <w:bCs w:val="0"/>
          <w:color w:val="auto"/>
          <w:lang w:eastAsia="zh-CN"/>
        </w:rPr>
      </w:pPr>
      <w:r>
        <w:rPr>
          <w:rFonts w:hint="eastAsia" w:ascii="黑体" w:hAnsi="宋体" w:eastAsia="黑体" w:cs="黑体"/>
          <w:b w:val="0"/>
          <w:bCs w:val="0"/>
          <w:snapToGrid/>
          <w:color w:val="auto"/>
          <w:sz w:val="31"/>
          <w:szCs w:val="31"/>
          <w:lang w:eastAsia="zh-CN" w:bidi="ar"/>
        </w:rPr>
        <w:t>赛项时间：</w:t>
      </w:r>
      <w:r>
        <w:rPr>
          <w:rFonts w:hint="eastAsia" w:ascii="黑体" w:hAnsi="宋体" w:eastAsia="黑体" w:cs="黑体"/>
          <w:b w:val="0"/>
          <w:bCs w:val="0"/>
          <w:snapToGrid/>
          <w:color w:val="auto"/>
          <w:spacing w:val="85"/>
          <w:sz w:val="31"/>
          <w:szCs w:val="31"/>
          <w:lang w:eastAsia="zh-CN" w:bidi="ar"/>
        </w:rPr>
        <w:t>2026年10月23-25日</w:t>
      </w:r>
    </w:p>
    <w:p w14:paraId="4C94E445">
      <w:pPr>
        <w:kinsoku/>
        <w:autoSpaceDE/>
        <w:autoSpaceDN/>
        <w:adjustRightInd/>
        <w:snapToGrid/>
        <w:jc w:val="center"/>
        <w:textAlignment w:val="auto"/>
        <w:rPr>
          <w:rFonts w:hint="eastAsia" w:ascii="黑体" w:hAnsi="宋体" w:eastAsia="黑体" w:cs="黑体"/>
          <w:b w:val="0"/>
          <w:bCs w:val="0"/>
          <w:snapToGrid/>
          <w:color w:val="auto"/>
          <w:sz w:val="31"/>
          <w:szCs w:val="31"/>
          <w:lang w:eastAsia="zh-CN" w:bidi="ar"/>
        </w:rPr>
        <w:sectPr>
          <w:footerReference r:id="rId5" w:type="default"/>
          <w:pgSz w:w="11906" w:h="16839"/>
          <w:pgMar w:top="1431" w:right="1475" w:bottom="1206" w:left="1601" w:header="0" w:footer="794" w:gutter="0"/>
          <w:pgNumType w:fmt="decimal" w:start="1"/>
          <w:cols w:space="720" w:num="1"/>
          <w:docGrid w:linePitch="286" w:charSpace="0"/>
        </w:sectPr>
      </w:pPr>
      <w:r>
        <w:rPr>
          <w:rFonts w:ascii="黑体" w:hAnsi="宋体" w:eastAsia="黑体" w:cs="黑体"/>
          <w:b w:val="0"/>
          <w:bCs w:val="0"/>
          <w:snapToGrid/>
          <w:color w:val="auto"/>
          <w:sz w:val="31"/>
          <w:szCs w:val="31"/>
          <w:lang w:eastAsia="zh-CN" w:bidi="ar"/>
        </w:rPr>
        <w:t>第</w:t>
      </w:r>
      <w:r>
        <w:rPr>
          <w:rFonts w:hint="eastAsia" w:ascii="黑体" w:hAnsi="宋体" w:eastAsia="黑体" w:cs="黑体"/>
          <w:b w:val="0"/>
          <w:bCs w:val="0"/>
          <w:snapToGrid/>
          <w:color w:val="auto"/>
          <w:sz w:val="31"/>
          <w:szCs w:val="31"/>
          <w:lang w:eastAsia="zh-CN" w:bidi="ar"/>
        </w:rPr>
        <w:t>二十二</w:t>
      </w:r>
      <w:r>
        <w:rPr>
          <w:rFonts w:ascii="黑体" w:hAnsi="宋体" w:eastAsia="黑体" w:cs="黑体"/>
          <w:b w:val="0"/>
          <w:bCs w:val="0"/>
          <w:snapToGrid/>
          <w:color w:val="auto"/>
          <w:sz w:val="31"/>
          <w:szCs w:val="31"/>
          <w:lang w:eastAsia="zh-CN" w:bidi="ar"/>
        </w:rPr>
        <w:t>届“振兴杯”</w:t>
      </w:r>
      <w:r>
        <w:rPr>
          <w:rFonts w:hint="eastAsia" w:ascii="黑体" w:hAnsi="宋体" w:eastAsia="黑体" w:cs="黑体"/>
          <w:b w:val="0"/>
          <w:bCs w:val="0"/>
          <w:snapToGrid/>
          <w:color w:val="auto"/>
          <w:sz w:val="31"/>
          <w:szCs w:val="31"/>
          <w:lang w:eastAsia="zh-CN" w:bidi="ar"/>
        </w:rPr>
        <w:t>安徽省青年职业技能大赛组委会</w:t>
      </w:r>
    </w:p>
    <w:p w14:paraId="3B331FE4">
      <w:pPr>
        <w:pStyle w:val="3"/>
        <w:bidi w:val="0"/>
        <w:rPr>
          <w:rFonts w:hint="eastAsia"/>
          <w:color w:val="auto"/>
          <w:lang w:eastAsia="zh-CN"/>
        </w:rPr>
      </w:pPr>
      <w:r>
        <w:rPr>
          <w:rFonts w:hint="eastAsia"/>
          <w:color w:val="auto"/>
          <w:lang w:val="en-US" w:eastAsia="zh-CN"/>
        </w:rPr>
        <w:t>一、</w:t>
      </w:r>
      <w:r>
        <w:rPr>
          <w:rFonts w:hint="eastAsia"/>
          <w:color w:val="auto"/>
          <w:lang w:eastAsia="zh-CN"/>
        </w:rPr>
        <w:t>竞赛标准</w:t>
      </w:r>
    </w:p>
    <w:p w14:paraId="2C715EBE">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无人机驾驶员（安防无人机驾驶员）竞赛项目的技术标准是以《无人机驾驶员国家职业技能标准》（职业编码：4-99-00-00）（2021年版）高级</w:t>
      </w:r>
      <w:r>
        <w:rPr>
          <w:rFonts w:hint="eastAsia"/>
          <w:color w:val="auto"/>
          <w:lang w:val="en-US" w:eastAsia="zh-CN"/>
        </w:rPr>
        <w:t>工</w:t>
      </w:r>
      <w:r>
        <w:rPr>
          <w:rFonts w:hint="eastAsia"/>
          <w:color w:val="auto"/>
          <w:lang w:eastAsia="zh-CN"/>
        </w:rPr>
        <w:t>（国家职业资格三级）为基础，并涵盖</w:t>
      </w:r>
      <w:r>
        <w:rPr>
          <w:rFonts w:hint="eastAsia"/>
          <w:color w:val="auto"/>
          <w:lang w:val="en-US" w:eastAsia="zh-CN"/>
        </w:rPr>
        <w:t>高级工</w:t>
      </w:r>
      <w:r>
        <w:rPr>
          <w:rFonts w:hint="eastAsia"/>
          <w:color w:val="auto"/>
          <w:lang w:eastAsia="zh-CN"/>
        </w:rPr>
        <w:t>（国家职业资格</w:t>
      </w:r>
      <w:r>
        <w:rPr>
          <w:rFonts w:hint="eastAsia"/>
          <w:color w:val="auto"/>
          <w:lang w:val="en-US" w:eastAsia="zh-CN"/>
        </w:rPr>
        <w:t>三级）</w:t>
      </w:r>
      <w:r>
        <w:rPr>
          <w:rFonts w:hint="eastAsia"/>
          <w:color w:val="auto"/>
          <w:lang w:eastAsia="zh-CN"/>
        </w:rPr>
        <w:t>以下和技师（国家职业资格二级）的</w:t>
      </w:r>
      <w:r>
        <w:rPr>
          <w:rFonts w:hint="eastAsia"/>
          <w:color w:val="auto"/>
          <w:lang w:val="en-US" w:eastAsia="zh-CN"/>
        </w:rPr>
        <w:t>部分</w:t>
      </w:r>
      <w:r>
        <w:rPr>
          <w:rFonts w:hint="eastAsia"/>
          <w:color w:val="auto"/>
          <w:lang w:eastAsia="zh-CN"/>
        </w:rPr>
        <w:t>内容。</w:t>
      </w:r>
    </w:p>
    <w:p w14:paraId="50BF3272">
      <w:pPr>
        <w:pStyle w:val="3"/>
        <w:bidi w:val="0"/>
        <w:rPr>
          <w:rFonts w:hint="eastAsia"/>
          <w:color w:val="auto"/>
          <w:lang w:eastAsia="zh-CN"/>
        </w:rPr>
      </w:pPr>
      <w:r>
        <w:rPr>
          <w:rFonts w:hint="eastAsia"/>
          <w:color w:val="auto"/>
          <w:lang w:eastAsia="zh-CN"/>
        </w:rPr>
        <w:t>二、命题原则</w:t>
      </w:r>
    </w:p>
    <w:p w14:paraId="51FF2863">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依据《无人机驾驶员国家职业技能标准》，注重基本技能和专业化操作，注重操作过程和质量控制，注重安全生产以及职业道德和标准规范，体现现代技术，结合生产实际，考核综合能力，并对技能人才培养起到示范指导作用。</w:t>
      </w:r>
    </w:p>
    <w:p w14:paraId="44BD4A29">
      <w:pPr>
        <w:pStyle w:val="3"/>
        <w:bidi w:val="0"/>
        <w:rPr>
          <w:rFonts w:hint="eastAsia"/>
          <w:color w:val="auto"/>
          <w:lang w:eastAsia="zh-CN"/>
        </w:rPr>
      </w:pPr>
      <w:bookmarkStart w:id="0" w:name="_Hlk239349642"/>
      <w:r>
        <w:rPr>
          <w:rFonts w:hint="eastAsia"/>
          <w:color w:val="auto"/>
          <w:lang w:eastAsia="zh-CN"/>
        </w:rPr>
        <w:t>三、竞赛方式、时间与成绩计算</w:t>
      </w:r>
    </w:p>
    <w:p w14:paraId="52C59C8D">
      <w:pPr>
        <w:pStyle w:val="4"/>
        <w:pageBreakBefore w:val="0"/>
        <w:wordWrap/>
        <w:overflowPunct/>
        <w:topLinePunct w:val="0"/>
        <w:bidi w:val="0"/>
        <w:rPr>
          <w:rFonts w:hint="eastAsia"/>
          <w:b/>
          <w:bCs/>
          <w:color w:val="auto"/>
          <w:lang w:val="en-US" w:eastAsia="zh-CN"/>
        </w:rPr>
      </w:pPr>
      <w:r>
        <w:rPr>
          <w:rFonts w:hint="eastAsia"/>
          <w:b/>
          <w:bCs/>
          <w:color w:val="auto"/>
          <w:lang w:eastAsia="zh-CN"/>
        </w:rPr>
        <w:t>（一）</w:t>
      </w:r>
      <w:r>
        <w:rPr>
          <w:rFonts w:hint="eastAsia"/>
          <w:b/>
          <w:bCs/>
          <w:color w:val="auto"/>
          <w:lang w:val="en-US" w:eastAsia="zh-CN"/>
        </w:rPr>
        <w:t>竞赛组别</w:t>
      </w:r>
    </w:p>
    <w:p w14:paraId="71E70660">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default"/>
          <w:color w:val="auto"/>
          <w:lang w:val="en-US" w:eastAsia="zh-CN"/>
        </w:rPr>
      </w:pPr>
      <w:r>
        <w:rPr>
          <w:rFonts w:hint="default"/>
          <w:color w:val="auto"/>
          <w:lang w:val="en-US" w:eastAsia="zh-CN"/>
        </w:rPr>
        <w:t>本赛项分为职工组、学生组两个组别，分组竞赛、分别排名计分。</w:t>
      </w:r>
    </w:p>
    <w:p w14:paraId="2CD2EBD3">
      <w:pPr>
        <w:pStyle w:val="4"/>
        <w:pageBreakBefore w:val="0"/>
        <w:wordWrap/>
        <w:overflowPunct/>
        <w:topLinePunct w:val="0"/>
        <w:bidi w:val="0"/>
        <w:rPr>
          <w:rFonts w:hint="eastAsia"/>
          <w:b/>
          <w:bCs/>
          <w:color w:val="auto"/>
          <w:lang w:eastAsia="zh-CN"/>
        </w:rPr>
      </w:pPr>
      <w:r>
        <w:rPr>
          <w:rFonts w:hint="eastAsia"/>
          <w:b/>
          <w:bCs/>
          <w:color w:val="auto"/>
          <w:lang w:eastAsia="zh-CN"/>
        </w:rPr>
        <w:t>（</w:t>
      </w:r>
      <w:r>
        <w:rPr>
          <w:rFonts w:hint="eastAsia"/>
          <w:b/>
          <w:bCs/>
          <w:color w:val="auto"/>
          <w:lang w:val="en-US" w:eastAsia="zh-CN"/>
        </w:rPr>
        <w:t>二</w:t>
      </w:r>
      <w:r>
        <w:rPr>
          <w:rFonts w:hint="eastAsia"/>
          <w:b/>
          <w:bCs/>
          <w:color w:val="auto"/>
          <w:lang w:eastAsia="zh-CN"/>
        </w:rPr>
        <w:t>）竞赛方式</w:t>
      </w:r>
    </w:p>
    <w:p w14:paraId="32ADCAD4">
      <w:pPr>
        <w:pStyle w:val="2"/>
        <w:keepNext w:val="0"/>
        <w:keepLines w:val="0"/>
        <w:pageBreakBefore w:val="0"/>
        <w:widowControl/>
        <w:kinsoku w:val="0"/>
        <w:wordWrap/>
        <w:overflowPunct/>
        <w:topLinePunct w:val="0"/>
        <w:autoSpaceDE w:val="0"/>
        <w:autoSpaceDN w:val="0"/>
        <w:bidi w:val="0"/>
        <w:adjustRightInd w:val="0"/>
        <w:snapToGrid/>
        <w:ind w:firstLine="560" w:firstLineChars="200"/>
        <w:textAlignment w:val="baseline"/>
        <w:rPr>
          <w:rFonts w:hint="eastAsia"/>
          <w:color w:val="auto"/>
          <w:lang w:eastAsia="zh-CN"/>
        </w:rPr>
      </w:pPr>
      <w:r>
        <w:rPr>
          <w:rFonts w:hint="eastAsia"/>
          <w:color w:val="auto"/>
          <w:lang w:eastAsia="zh-CN"/>
        </w:rPr>
        <w:t>包括理论知识和实际操作竞赛两部分。竞赛两部分内容均由1名选手在规定的时间内独立完成。</w:t>
      </w:r>
    </w:p>
    <w:p w14:paraId="504B044D">
      <w:pPr>
        <w:pStyle w:val="4"/>
        <w:pageBreakBefore w:val="0"/>
        <w:wordWrap/>
        <w:overflowPunct/>
        <w:topLinePunct w:val="0"/>
        <w:bidi w:val="0"/>
        <w:rPr>
          <w:rFonts w:hint="eastAsia"/>
          <w:b/>
          <w:bCs/>
          <w:color w:val="auto"/>
          <w:lang w:eastAsia="zh-CN"/>
        </w:rPr>
      </w:pPr>
      <w:r>
        <w:rPr>
          <w:rFonts w:hint="eastAsia"/>
          <w:b/>
          <w:bCs/>
          <w:color w:val="auto"/>
          <w:lang w:eastAsia="zh-CN"/>
        </w:rPr>
        <w:t>（</w:t>
      </w:r>
      <w:r>
        <w:rPr>
          <w:rFonts w:hint="eastAsia"/>
          <w:b/>
          <w:bCs/>
          <w:color w:val="auto"/>
          <w:lang w:val="en-US" w:eastAsia="zh-CN"/>
        </w:rPr>
        <w:t>三</w:t>
      </w:r>
      <w:r>
        <w:rPr>
          <w:rFonts w:hint="eastAsia"/>
          <w:b/>
          <w:bCs/>
          <w:color w:val="auto"/>
          <w:lang w:eastAsia="zh-CN"/>
        </w:rPr>
        <w:t>）竞赛时间</w:t>
      </w:r>
    </w:p>
    <w:p w14:paraId="68F0DD47">
      <w:pPr>
        <w:pStyle w:val="2"/>
        <w:keepNext w:val="0"/>
        <w:keepLines w:val="0"/>
        <w:pageBreakBefore w:val="0"/>
        <w:widowControl/>
        <w:kinsoku w:val="0"/>
        <w:wordWrap/>
        <w:overflowPunct/>
        <w:topLinePunct w:val="0"/>
        <w:autoSpaceDE w:val="0"/>
        <w:autoSpaceDN w:val="0"/>
        <w:bidi w:val="0"/>
        <w:adjustRightInd w:val="0"/>
        <w:snapToGrid/>
        <w:ind w:firstLine="560" w:firstLineChars="200"/>
        <w:textAlignment w:val="baseline"/>
        <w:rPr>
          <w:rFonts w:hint="eastAsia"/>
          <w:color w:val="auto"/>
          <w:lang w:eastAsia="zh-CN"/>
        </w:rPr>
      </w:pPr>
      <w:r>
        <w:rPr>
          <w:rFonts w:hint="eastAsia"/>
          <w:color w:val="auto"/>
          <w:lang w:eastAsia="zh-CN"/>
        </w:rPr>
        <w:t>1.理论知识竞赛时间60分钟。</w:t>
      </w:r>
    </w:p>
    <w:p w14:paraId="7B65EECA">
      <w:pPr>
        <w:pStyle w:val="2"/>
        <w:keepNext w:val="0"/>
        <w:keepLines w:val="0"/>
        <w:pageBreakBefore w:val="0"/>
        <w:widowControl/>
        <w:kinsoku w:val="0"/>
        <w:wordWrap/>
        <w:overflowPunct/>
        <w:topLinePunct w:val="0"/>
        <w:autoSpaceDE w:val="0"/>
        <w:autoSpaceDN w:val="0"/>
        <w:bidi w:val="0"/>
        <w:adjustRightInd w:val="0"/>
        <w:snapToGrid/>
        <w:ind w:firstLine="560" w:firstLineChars="200"/>
        <w:textAlignment w:val="baseline"/>
        <w:rPr>
          <w:rFonts w:hint="eastAsia"/>
          <w:color w:val="auto"/>
          <w:lang w:eastAsia="zh-CN"/>
        </w:rPr>
      </w:pPr>
      <w:r>
        <w:rPr>
          <w:rFonts w:hint="eastAsia"/>
          <w:color w:val="auto"/>
          <w:lang w:eastAsia="zh-CN"/>
        </w:rPr>
        <w:t>2.实际操作分三个模块进行，竞赛总时间10分钟。其中模块一：无人机穿越作业，竞赛时间3</w:t>
      </w:r>
      <w:r>
        <w:rPr>
          <w:rFonts w:hint="eastAsia"/>
          <w:color w:val="auto"/>
          <w:lang w:val="en-US" w:eastAsia="zh-CN"/>
        </w:rPr>
        <w:t>分</w:t>
      </w:r>
      <w:r>
        <w:rPr>
          <w:rFonts w:hint="eastAsia"/>
          <w:color w:val="auto"/>
          <w:lang w:eastAsia="zh-CN"/>
        </w:rPr>
        <w:t>钟；模块二：无人机巡检作业，竞赛时间3分钟；模块三：无人机吊运作业，竞赛时间4分钟。</w:t>
      </w:r>
    </w:p>
    <w:p w14:paraId="1086C135">
      <w:pPr>
        <w:pStyle w:val="4"/>
        <w:pageBreakBefore w:val="0"/>
        <w:wordWrap/>
        <w:overflowPunct/>
        <w:topLinePunct w:val="0"/>
        <w:bidi w:val="0"/>
        <w:rPr>
          <w:rFonts w:hint="eastAsia"/>
          <w:b/>
          <w:bCs/>
          <w:color w:val="auto"/>
          <w:lang w:eastAsia="zh-CN"/>
        </w:rPr>
      </w:pPr>
      <w:r>
        <w:rPr>
          <w:rFonts w:hint="eastAsia"/>
          <w:b/>
          <w:bCs/>
          <w:color w:val="auto"/>
          <w:lang w:eastAsia="zh-CN"/>
        </w:rPr>
        <w:t>（</w:t>
      </w:r>
      <w:r>
        <w:rPr>
          <w:rFonts w:hint="eastAsia"/>
          <w:b/>
          <w:bCs/>
          <w:color w:val="auto"/>
          <w:lang w:val="en-US" w:eastAsia="zh-CN"/>
        </w:rPr>
        <w:t>四</w:t>
      </w:r>
      <w:r>
        <w:rPr>
          <w:rFonts w:hint="eastAsia"/>
          <w:b/>
          <w:bCs/>
          <w:color w:val="auto"/>
          <w:lang w:eastAsia="zh-CN"/>
        </w:rPr>
        <w:t>）成绩计算</w:t>
      </w:r>
    </w:p>
    <w:p w14:paraId="743717EC">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default"/>
          <w:color w:val="auto"/>
          <w:lang w:val="en-US" w:eastAsia="zh-CN"/>
        </w:rPr>
      </w:pPr>
      <w:r>
        <w:rPr>
          <w:rFonts w:hint="eastAsia"/>
          <w:color w:val="auto"/>
          <w:lang w:eastAsia="zh-CN"/>
        </w:rPr>
        <w:t>若参赛选手总成绩相同，实际操作比赛成绩高的选手名次在前。参赛选手总成绩和实际操作比赛成绩均相同，实际操作模块一得分高的选手名次在前。参赛选手总成绩、实际操作比赛成绩和实际操作模块一比赛成绩均相同，则按照实际操作模块二得分模块的次序进行优先排序。如果模块二得分的模块仍旧无法分出选手的成绩名次，则依据</w:t>
      </w:r>
      <w:r>
        <w:rPr>
          <w:rFonts w:hint="eastAsia"/>
          <w:color w:val="auto"/>
          <w:lang w:val="en-US" w:eastAsia="zh-CN"/>
        </w:rPr>
        <w:t>实际操作</w:t>
      </w:r>
      <w:r>
        <w:rPr>
          <w:rFonts w:hint="eastAsia"/>
          <w:color w:val="auto"/>
          <w:lang w:eastAsia="zh-CN"/>
        </w:rPr>
        <w:t>三个模块的总时长的比较来确定名次。</w:t>
      </w:r>
    </w:p>
    <w:p w14:paraId="036C71A5">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1.理论知识竞赛（计算机答题）满分100分，占总成绩的30％（其中时事政治题占总成绩的10％）。</w:t>
      </w:r>
    </w:p>
    <w:p w14:paraId="7A4653C5">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2.实际操作竞赛成绩满分100分，占总成绩的70%，</w:t>
      </w:r>
      <w:r>
        <w:rPr>
          <w:rFonts w:hint="eastAsia"/>
          <w:color w:val="auto"/>
          <w:lang w:eastAsia="zh-CN"/>
        </w:rPr>
        <w:t>其中模块一30分，模块二</w:t>
      </w:r>
      <w:r>
        <w:rPr>
          <w:rFonts w:hint="eastAsia"/>
          <w:color w:val="auto"/>
          <w:lang w:val="en-US" w:eastAsia="zh-CN"/>
        </w:rPr>
        <w:t>3</w:t>
      </w:r>
      <w:r>
        <w:rPr>
          <w:rFonts w:hint="eastAsia"/>
          <w:color w:val="auto"/>
          <w:lang w:eastAsia="zh-CN"/>
        </w:rPr>
        <w:t>0分，模块三</w:t>
      </w:r>
      <w:r>
        <w:rPr>
          <w:rFonts w:hint="eastAsia"/>
          <w:color w:val="auto"/>
          <w:lang w:val="en-US" w:eastAsia="zh-CN"/>
        </w:rPr>
        <w:t>4</w:t>
      </w:r>
      <w:r>
        <w:rPr>
          <w:rFonts w:hint="eastAsia"/>
          <w:color w:val="auto"/>
          <w:lang w:eastAsia="zh-CN"/>
        </w:rPr>
        <w:t>0分。</w:t>
      </w:r>
    </w:p>
    <w:p w14:paraId="2FBFDB88">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lang w:eastAsia="zh-CN"/>
        </w:rPr>
      </w:pPr>
      <w:r>
        <w:rPr>
          <w:rFonts w:hint="eastAsia"/>
          <w:lang w:eastAsia="zh-CN"/>
        </w:rPr>
        <w:t>竞赛总成绩=理论成绩×30%+实际操作成绩×70%。</w:t>
      </w:r>
    </w:p>
    <w:bookmarkEnd w:id="0"/>
    <w:p w14:paraId="19448751">
      <w:pPr>
        <w:pStyle w:val="3"/>
        <w:bidi w:val="0"/>
        <w:rPr>
          <w:rFonts w:hint="eastAsia"/>
          <w:color w:val="auto"/>
          <w:lang w:eastAsia="zh-CN"/>
        </w:rPr>
      </w:pPr>
      <w:r>
        <w:rPr>
          <w:rFonts w:hint="eastAsia"/>
          <w:color w:val="auto"/>
          <w:lang w:eastAsia="zh-CN"/>
        </w:rPr>
        <w:t>四、竞赛范围、比重、类型及其它</w:t>
      </w:r>
    </w:p>
    <w:p w14:paraId="7507EF76">
      <w:pPr>
        <w:pStyle w:val="4"/>
        <w:pageBreakBefore w:val="0"/>
        <w:wordWrap/>
        <w:overflowPunct/>
        <w:topLinePunct w:val="0"/>
        <w:bidi w:val="0"/>
        <w:rPr>
          <w:rFonts w:hint="eastAsia"/>
          <w:b/>
          <w:bCs/>
          <w:color w:val="auto"/>
          <w:lang w:eastAsia="zh-CN"/>
        </w:rPr>
      </w:pPr>
      <w:r>
        <w:rPr>
          <w:rFonts w:hint="eastAsia"/>
          <w:b/>
          <w:bCs/>
          <w:color w:val="auto"/>
          <w:lang w:eastAsia="zh-CN"/>
        </w:rPr>
        <w:t>（一）理论知识竞赛</w:t>
      </w:r>
    </w:p>
    <w:p w14:paraId="4C7A752E">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1.试题范围</w:t>
      </w:r>
    </w:p>
    <w:p w14:paraId="10EE5488">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理论知识竞赛以竞赛题库作为参考资料，竞赛一个月前在安徽国际商务职业学院网站上公布理论知识竞赛题库（不含时事政治题），时事政治题单独命题。</w:t>
      </w:r>
    </w:p>
    <w:p w14:paraId="222DB1AF">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2.试题题型</w:t>
      </w:r>
    </w:p>
    <w:p w14:paraId="4E065CF7">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竞赛试题包括单项选择题、多项选择题、判断题三种类型。</w:t>
      </w:r>
    </w:p>
    <w:p w14:paraId="77D59C16">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default"/>
          <w:lang w:val="en-US" w:eastAsia="zh-CN"/>
        </w:rPr>
      </w:pPr>
      <w:r>
        <w:rPr>
          <w:rFonts w:hint="default"/>
          <w:lang w:val="en-US" w:eastAsia="zh-CN"/>
        </w:rPr>
        <w:t>3.竞赛方式</w:t>
      </w:r>
    </w:p>
    <w:p w14:paraId="7E323744">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default"/>
          <w:lang w:val="en-US" w:eastAsia="zh-CN"/>
        </w:rPr>
      </w:pPr>
      <w:r>
        <w:rPr>
          <w:rFonts w:hint="default"/>
          <w:lang w:val="en-US" w:eastAsia="zh-CN"/>
        </w:rPr>
        <w:t>理论知识竞赛采取闭卷、机答方式进行。</w:t>
      </w:r>
    </w:p>
    <w:p w14:paraId="2F478458">
      <w:pPr>
        <w:pStyle w:val="4"/>
        <w:pageBreakBefore w:val="0"/>
        <w:wordWrap/>
        <w:overflowPunct/>
        <w:topLinePunct w:val="0"/>
        <w:bidi w:val="0"/>
        <w:rPr>
          <w:rFonts w:hint="eastAsia"/>
          <w:b/>
          <w:bCs/>
          <w:color w:val="auto"/>
          <w:lang w:eastAsia="zh-CN"/>
        </w:rPr>
      </w:pPr>
      <w:r>
        <w:rPr>
          <w:rFonts w:hint="eastAsia"/>
          <w:b/>
          <w:bCs/>
          <w:color w:val="auto"/>
          <w:lang w:eastAsia="zh-CN"/>
        </w:rPr>
        <w:t>（二）实际操作竞赛</w:t>
      </w:r>
    </w:p>
    <w:p w14:paraId="5895A32E">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本次实操竞赛以操作技能为主，设备使用规范及安全文明生产</w:t>
      </w:r>
      <w:r>
        <w:rPr>
          <w:rFonts w:hint="eastAsia"/>
          <w:color w:val="auto"/>
          <w:lang w:val="en-US" w:eastAsia="zh-CN"/>
        </w:rPr>
        <w:t>等职业素养</w:t>
      </w:r>
      <w:r>
        <w:rPr>
          <w:rFonts w:hint="eastAsia"/>
          <w:color w:val="auto"/>
          <w:lang w:eastAsia="zh-CN"/>
        </w:rPr>
        <w:t>在实际操作比赛过程中进行考查，不再单独命题。</w:t>
      </w:r>
    </w:p>
    <w:p w14:paraId="0285F784">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1.试题范围</w:t>
      </w:r>
    </w:p>
    <w:p w14:paraId="02B173F8">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实际操作竞赛由无人机穿越作业、无人机巡检作业、无人机吊运作业等3个模块组成。全面考察选手对无人机驾驶工作的规划、实施、验证、操控等能力。参赛选手在规定时间内需完成以下3个任务模块的工作。</w:t>
      </w:r>
    </w:p>
    <w:p w14:paraId="10FB9B26">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（1）模块一：无人机穿越作业。</w:t>
      </w:r>
    </w:p>
    <w:p w14:paraId="44D8CD56">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根据测试任务要求，操作无人机依次穿越场内设置的多个障碍物，完成作业后进行降落，达到任务标准。</w:t>
      </w:r>
    </w:p>
    <w:p w14:paraId="1BA3A893">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具体要求参赛选手完成以下工作：</w:t>
      </w:r>
    </w:p>
    <w:p w14:paraId="56E46FE2">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1)完成无人机起飞前准备；</w:t>
      </w:r>
    </w:p>
    <w:p w14:paraId="57A006EE">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2)完成无人机的规定路线操作飞行；</w:t>
      </w:r>
    </w:p>
    <w:p w14:paraId="5EDCEF8A">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3)完成无人机线路后的降落。</w:t>
      </w:r>
    </w:p>
    <w:p w14:paraId="484FDF1E">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（2）模块二：无人机巡检作业</w:t>
      </w:r>
    </w:p>
    <w:p w14:paraId="16101ED0">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根据任务要求，选手手动操作无人机，完成规定区域的轨迹飞行和轨迹区域的任务侦察拍摄，达到任务标准。</w:t>
      </w:r>
    </w:p>
    <w:p w14:paraId="3F51D1C2">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具体要求参赛选手完成以下工作：</w:t>
      </w:r>
    </w:p>
    <w:p w14:paraId="1939FCA6">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1)完成无人机起飞前准备；</w:t>
      </w:r>
    </w:p>
    <w:p w14:paraId="731B9718">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2)完成无人机的规定路线操作飞行；</w:t>
      </w:r>
    </w:p>
    <w:p w14:paraId="7D62DA9A">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3)完成无人机飞行过程中侦察拍照；</w:t>
      </w:r>
    </w:p>
    <w:p w14:paraId="0EE4FC6D">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4)完成无人机线路后的降落。</w:t>
      </w:r>
    </w:p>
    <w:p w14:paraId="78282BC5">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（3）模块三：无人机吊运作业</w:t>
      </w:r>
    </w:p>
    <w:p w14:paraId="0628A8F8">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根据测试任务要求，将投掷物挂载至飞机上，随后操作无人机携带投掷物依次绕开线路中的障碍，到达投掷点后进行投放，完成作业后进行降落，达到任务标准。</w:t>
      </w:r>
    </w:p>
    <w:p w14:paraId="58805CBE">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具体要求参赛选手完成以下工作：</w:t>
      </w:r>
    </w:p>
    <w:p w14:paraId="1CE52570">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1)完成无人机起飞前准备；</w:t>
      </w:r>
    </w:p>
    <w:p w14:paraId="5D3EE19F">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2)完成无人机的投掷物挂载；</w:t>
      </w:r>
    </w:p>
    <w:p w14:paraId="570AD819">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3)完成无人机的规定路线操作飞行；</w:t>
      </w:r>
    </w:p>
    <w:p w14:paraId="5EB457B9">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4)完成无人机的挂载投放；</w:t>
      </w:r>
    </w:p>
    <w:p w14:paraId="2027A716">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5)完成无人机线路后的降落。</w:t>
      </w:r>
    </w:p>
    <w:p w14:paraId="51F9BB99">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2.竞赛方式</w:t>
      </w:r>
    </w:p>
    <w:p w14:paraId="749ECFF8">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采用现场实际操作方式，</w:t>
      </w:r>
      <w:r>
        <w:rPr>
          <w:rFonts w:hint="eastAsia"/>
          <w:color w:val="auto"/>
          <w:lang w:val="en-US" w:eastAsia="zh-CN"/>
        </w:rPr>
        <w:t>设备采用姿态飞行模式</w:t>
      </w:r>
      <w:r>
        <w:rPr>
          <w:rFonts w:hint="eastAsia"/>
          <w:color w:val="auto"/>
          <w:lang w:eastAsia="zh-CN"/>
        </w:rPr>
        <w:t>。</w:t>
      </w:r>
    </w:p>
    <w:p w14:paraId="0B9D52CF">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3.样题公布方式</w:t>
      </w:r>
    </w:p>
    <w:p w14:paraId="2D7E9077">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default"/>
          <w:color w:val="auto"/>
          <w:lang w:val="en-US" w:eastAsia="zh-CN"/>
        </w:rPr>
      </w:pPr>
      <w:r>
        <w:rPr>
          <w:rFonts w:hint="eastAsia"/>
          <w:color w:val="auto"/>
          <w:lang w:eastAsia="zh-CN"/>
        </w:rPr>
        <w:t>样题于决赛前一个月在安徽国际商务职业官网公布。</w:t>
      </w:r>
    </w:p>
    <w:p w14:paraId="3F2D965D">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4.选手自备的设备</w:t>
      </w:r>
    </w:p>
    <w:p w14:paraId="52EE44B3">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本赛项由参赛选手自行携带设备，竞赛设备清单如下表1所示。</w:t>
      </w:r>
    </w:p>
    <w:p w14:paraId="2C3422CE">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cs="微软雅黑"/>
          <w:sz w:val="24"/>
          <w:szCs w:val="22"/>
          <w:lang w:eastAsia="zh-CN"/>
        </w:rPr>
      </w:pPr>
      <w:r>
        <w:rPr>
          <w:rFonts w:hint="eastAsia" w:ascii="宋体" w:hAnsi="宋体" w:cs="微软雅黑"/>
          <w:sz w:val="24"/>
          <w:szCs w:val="22"/>
          <w:lang w:eastAsia="zh-CN"/>
        </w:rPr>
        <w:t>表1 参赛选手无人机规格配置限制清单</w:t>
      </w:r>
    </w:p>
    <w:tbl>
      <w:tblPr>
        <w:tblStyle w:val="13"/>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30"/>
        <w:gridCol w:w="1480"/>
        <w:gridCol w:w="5784"/>
      </w:tblGrid>
      <w:tr w14:paraId="2BC9D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jc w:val="center"/>
        </w:trPr>
        <w:tc>
          <w:tcPr>
            <w:tcW w:w="621" w:type="pct"/>
            <w:vAlign w:val="center"/>
          </w:tcPr>
          <w:p w14:paraId="570BC0B8">
            <w:pPr>
              <w:pStyle w:val="19"/>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序号</w:t>
            </w:r>
          </w:p>
        </w:tc>
        <w:tc>
          <w:tcPr>
            <w:tcW w:w="892" w:type="pct"/>
            <w:vAlign w:val="center"/>
          </w:tcPr>
          <w:p w14:paraId="7A4D3096">
            <w:pPr>
              <w:pStyle w:val="19"/>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设备类别</w:t>
            </w:r>
          </w:p>
        </w:tc>
        <w:tc>
          <w:tcPr>
            <w:tcW w:w="3485" w:type="pct"/>
            <w:vAlign w:val="center"/>
          </w:tcPr>
          <w:p w14:paraId="61C4F625">
            <w:pPr>
              <w:pStyle w:val="19"/>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技术参数</w:t>
            </w:r>
          </w:p>
        </w:tc>
      </w:tr>
      <w:tr w14:paraId="2D97F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621" w:type="pct"/>
            <w:vAlign w:val="center"/>
          </w:tcPr>
          <w:p w14:paraId="66AA4529">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w:t>
            </w:r>
          </w:p>
        </w:tc>
        <w:tc>
          <w:tcPr>
            <w:tcW w:w="892" w:type="pct"/>
            <w:vAlign w:val="center"/>
          </w:tcPr>
          <w:p w14:paraId="1CD8363A">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无人机</w:t>
            </w:r>
          </w:p>
        </w:tc>
        <w:tc>
          <w:tcPr>
            <w:tcW w:w="3485" w:type="pct"/>
            <w:vAlign w:val="center"/>
          </w:tcPr>
          <w:p w14:paraId="3CB64F6D">
            <w:pPr>
              <w:pStyle w:val="19"/>
              <w:spacing w:line="276" w:lineRule="auto"/>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整机重量≤7000g</w:t>
            </w:r>
          </w:p>
          <w:p w14:paraId="537B94E3">
            <w:pPr>
              <w:pStyle w:val="19"/>
              <w:spacing w:line="276" w:lineRule="auto"/>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轴距需求：500mm≤整机轴距≤600mm</w:t>
            </w:r>
          </w:p>
        </w:tc>
      </w:tr>
      <w:tr w14:paraId="117CB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621" w:type="pct"/>
            <w:vAlign w:val="center"/>
          </w:tcPr>
          <w:p w14:paraId="40EAF4AB">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w:t>
            </w:r>
          </w:p>
        </w:tc>
        <w:tc>
          <w:tcPr>
            <w:tcW w:w="892" w:type="pct"/>
            <w:vAlign w:val="center"/>
          </w:tcPr>
          <w:p w14:paraId="662DEFF7">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电池</w:t>
            </w:r>
          </w:p>
        </w:tc>
        <w:tc>
          <w:tcPr>
            <w:tcW w:w="3485" w:type="pct"/>
            <w:vAlign w:val="center"/>
          </w:tcPr>
          <w:p w14:paraId="4BA918CB">
            <w:pPr>
              <w:pStyle w:val="19"/>
              <w:spacing w:line="276" w:lineRule="auto"/>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电池可使用锂聚合物电池或高压锂电池（2-6slipo/lihv）</w:t>
            </w:r>
          </w:p>
          <w:p w14:paraId="4528DC9C">
            <w:pPr>
              <w:pStyle w:val="19"/>
              <w:spacing w:line="276" w:lineRule="auto"/>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电池容量≤8000mah</w:t>
            </w:r>
          </w:p>
        </w:tc>
      </w:tr>
      <w:tr w14:paraId="2E3D2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jc w:val="center"/>
        </w:trPr>
        <w:tc>
          <w:tcPr>
            <w:tcW w:w="621" w:type="pct"/>
            <w:vAlign w:val="center"/>
          </w:tcPr>
          <w:p w14:paraId="609F5C40">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w:t>
            </w:r>
          </w:p>
        </w:tc>
        <w:tc>
          <w:tcPr>
            <w:tcW w:w="892" w:type="pct"/>
            <w:vAlign w:val="center"/>
          </w:tcPr>
          <w:p w14:paraId="1DFE4687">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图传</w:t>
            </w:r>
          </w:p>
        </w:tc>
        <w:tc>
          <w:tcPr>
            <w:tcW w:w="3485" w:type="pct"/>
            <w:vAlign w:val="center"/>
          </w:tcPr>
          <w:p w14:paraId="4A10E8FC">
            <w:pPr>
              <w:pStyle w:val="19"/>
              <w:spacing w:line="276" w:lineRule="auto"/>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5.8g模拟信号图传、hdzero模拟图传、openipc数字图传、大疆高清数字图传、caddx蜗牛数字图传等可拍摄照片均可</w:t>
            </w:r>
          </w:p>
        </w:tc>
      </w:tr>
      <w:tr w14:paraId="69B40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621" w:type="pct"/>
            <w:vAlign w:val="center"/>
          </w:tcPr>
          <w:p w14:paraId="75077A2D">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w:t>
            </w:r>
          </w:p>
        </w:tc>
        <w:tc>
          <w:tcPr>
            <w:tcW w:w="892" w:type="pct"/>
            <w:vAlign w:val="center"/>
          </w:tcPr>
          <w:p w14:paraId="5DE30325">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云台</w:t>
            </w:r>
          </w:p>
        </w:tc>
        <w:tc>
          <w:tcPr>
            <w:tcW w:w="3485" w:type="pct"/>
            <w:vAlign w:val="center"/>
          </w:tcPr>
          <w:p w14:paraId="73F783FD">
            <w:pPr>
              <w:pStyle w:val="19"/>
              <w:spacing w:line="276" w:lineRule="auto"/>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1-3轴云台</w:t>
            </w:r>
          </w:p>
        </w:tc>
      </w:tr>
      <w:tr w14:paraId="3D7AE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621" w:type="pct"/>
            <w:vAlign w:val="center"/>
          </w:tcPr>
          <w:p w14:paraId="6C71F63C">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w:t>
            </w:r>
          </w:p>
        </w:tc>
        <w:tc>
          <w:tcPr>
            <w:tcW w:w="892" w:type="pct"/>
            <w:vAlign w:val="center"/>
          </w:tcPr>
          <w:p w14:paraId="148C45CD">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抛投器</w:t>
            </w:r>
          </w:p>
        </w:tc>
        <w:tc>
          <w:tcPr>
            <w:tcW w:w="3485" w:type="pct"/>
            <w:vAlign w:val="center"/>
          </w:tcPr>
          <w:p w14:paraId="223396B9">
            <w:pPr>
              <w:pStyle w:val="19"/>
              <w:spacing w:line="276" w:lineRule="auto"/>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可容纳装载≤4个乒乓球依次进行投放</w:t>
            </w:r>
          </w:p>
        </w:tc>
      </w:tr>
      <w:tr w14:paraId="65C2A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621" w:type="pct"/>
            <w:vAlign w:val="center"/>
          </w:tcPr>
          <w:p w14:paraId="0BCB4FCA">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6</w:t>
            </w:r>
          </w:p>
        </w:tc>
        <w:tc>
          <w:tcPr>
            <w:tcW w:w="892" w:type="pct"/>
            <w:vAlign w:val="center"/>
          </w:tcPr>
          <w:p w14:paraId="0642A28F">
            <w:pPr>
              <w:pStyle w:val="19"/>
              <w:spacing w:line="276"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乒乓球</w:t>
            </w:r>
          </w:p>
        </w:tc>
        <w:tc>
          <w:tcPr>
            <w:tcW w:w="3485" w:type="pct"/>
            <w:vAlign w:val="center"/>
          </w:tcPr>
          <w:p w14:paraId="1B49DF46">
            <w:pPr>
              <w:kinsoku/>
              <w:autoSpaceDE/>
              <w:autoSpaceDN/>
              <w:adjustRightInd/>
              <w:snapToGrid/>
              <w:spacing w:line="276" w:lineRule="auto"/>
              <w:textAlignment w:val="auto"/>
              <w:rPr>
                <w:rFonts w:hint="eastAsia" w:ascii="仿宋_GB2312" w:hAnsi="仿宋_GB2312" w:eastAsia="仿宋_GB2312" w:cs="仿宋_GB2312"/>
                <w:snapToGrid/>
                <w:color w:val="auto"/>
                <w:kern w:val="2"/>
                <w:sz w:val="24"/>
                <w:szCs w:val="24"/>
                <w:lang w:eastAsia="zh-CN"/>
              </w:rPr>
            </w:pPr>
            <w:r>
              <w:rPr>
                <w:rFonts w:hint="eastAsia" w:ascii="仿宋_GB2312" w:hAnsi="仿宋_GB2312" w:eastAsia="仿宋_GB2312" w:cs="仿宋_GB2312"/>
                <w:snapToGrid/>
                <w:color w:val="auto"/>
                <w:kern w:val="2"/>
                <w:sz w:val="24"/>
                <w:szCs w:val="24"/>
                <w:lang w:eastAsia="zh-CN"/>
              </w:rPr>
              <w:t>国标GB/T20045-2026指标</w:t>
            </w:r>
          </w:p>
        </w:tc>
      </w:tr>
    </w:tbl>
    <w:p w14:paraId="0F063585">
      <w:pPr>
        <w:keepNext w:val="0"/>
        <w:keepLines w:val="0"/>
        <w:pageBreakBefore w:val="0"/>
        <w:widowControl/>
        <w:kinsoku w:val="0"/>
        <w:wordWrap/>
        <w:overflowPunct/>
        <w:topLinePunct w:val="0"/>
        <w:autoSpaceDE w:val="0"/>
        <w:autoSpaceDN w:val="0"/>
        <w:bidi w:val="0"/>
        <w:adjustRightInd w:val="0"/>
        <w:snapToGrid w:val="0"/>
        <w:ind w:firstLine="480" w:firstLineChars="200"/>
        <w:textAlignment w:val="baseline"/>
        <w:rPr>
          <w:sz w:val="24"/>
          <w:szCs w:val="20"/>
          <w:lang w:eastAsia="zh-CN"/>
        </w:rPr>
      </w:pPr>
      <w:r>
        <w:rPr>
          <w:rFonts w:hint="eastAsia"/>
          <w:sz w:val="24"/>
          <w:szCs w:val="20"/>
          <w:lang w:eastAsia="zh-CN"/>
        </w:rPr>
        <w:t>报名</w:t>
      </w:r>
      <w:r>
        <w:rPr>
          <w:rFonts w:hint="eastAsia"/>
          <w:sz w:val="24"/>
          <w:szCs w:val="20"/>
          <w:lang w:val="en-US" w:eastAsia="zh-CN"/>
        </w:rPr>
        <w:t>后需</w:t>
      </w:r>
      <w:r>
        <w:rPr>
          <w:rFonts w:hint="eastAsia"/>
          <w:sz w:val="24"/>
          <w:szCs w:val="20"/>
          <w:lang w:eastAsia="zh-CN"/>
        </w:rPr>
        <w:t>填写选手设备配置登记表，详见此技术文件附件。</w:t>
      </w:r>
    </w:p>
    <w:p w14:paraId="3A932DB2">
      <w:pPr>
        <w:keepNext w:val="0"/>
        <w:keepLines w:val="0"/>
        <w:pageBreakBefore w:val="0"/>
        <w:widowControl/>
        <w:kinsoku w:val="0"/>
        <w:wordWrap/>
        <w:overflowPunct/>
        <w:topLinePunct w:val="0"/>
        <w:autoSpaceDE w:val="0"/>
        <w:autoSpaceDN w:val="0"/>
        <w:bidi w:val="0"/>
        <w:adjustRightInd w:val="0"/>
        <w:snapToGrid w:val="0"/>
        <w:ind w:firstLine="480" w:firstLineChars="200"/>
        <w:textAlignment w:val="baseline"/>
        <w:rPr>
          <w:rFonts w:hint="eastAsia"/>
          <w:sz w:val="24"/>
          <w:szCs w:val="20"/>
          <w:lang w:eastAsia="zh-CN"/>
        </w:rPr>
      </w:pPr>
      <w:r>
        <w:rPr>
          <w:rFonts w:hint="eastAsia"/>
          <w:sz w:val="24"/>
          <w:szCs w:val="20"/>
          <w:lang w:eastAsia="zh-CN"/>
        </w:rPr>
        <w:t>设备问题咨询：</w:t>
      </w:r>
      <w:r>
        <w:rPr>
          <w:rFonts w:hint="eastAsia"/>
          <w:sz w:val="24"/>
          <w:szCs w:val="20"/>
          <w:lang w:val="en-US" w:eastAsia="zh-CN"/>
        </w:rPr>
        <w:t>技术支持单位杨经理，</w:t>
      </w:r>
      <w:r>
        <w:rPr>
          <w:rFonts w:hint="eastAsia"/>
          <w:sz w:val="24"/>
          <w:szCs w:val="20"/>
          <w:lang w:eastAsia="zh-CN"/>
        </w:rPr>
        <w:t>18962347306。</w:t>
      </w:r>
    </w:p>
    <w:p w14:paraId="4BE5149D">
      <w:pPr>
        <w:pStyle w:val="3"/>
        <w:bidi w:val="0"/>
        <w:rPr>
          <w:rFonts w:hint="eastAsia"/>
          <w:color w:val="auto"/>
          <w:lang w:eastAsia="zh-CN"/>
        </w:rPr>
      </w:pPr>
      <w:r>
        <w:rPr>
          <w:rFonts w:hint="eastAsia"/>
          <w:color w:val="auto"/>
          <w:lang w:eastAsia="zh-CN"/>
        </w:rPr>
        <w:t>五、评判标准</w:t>
      </w:r>
    </w:p>
    <w:p w14:paraId="2E54B895">
      <w:pPr>
        <w:pStyle w:val="4"/>
        <w:bidi w:val="0"/>
        <w:rPr>
          <w:rFonts w:hint="eastAsia"/>
          <w:b/>
          <w:bCs/>
          <w:color w:val="auto"/>
          <w:lang w:eastAsia="zh-CN"/>
        </w:rPr>
      </w:pPr>
      <w:bookmarkStart w:id="1" w:name="_Toc4743"/>
      <w:r>
        <w:rPr>
          <w:rFonts w:hint="eastAsia"/>
          <w:b/>
          <w:bCs/>
          <w:color w:val="auto"/>
          <w:lang w:eastAsia="zh-CN"/>
        </w:rPr>
        <w:t>（一）评判标准的制订原则</w:t>
      </w:r>
    </w:p>
    <w:p w14:paraId="0339F50A">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参照《无人机驾驶员国家职业技能标准》高级</w:t>
      </w:r>
      <w:r>
        <w:rPr>
          <w:rFonts w:hint="eastAsia"/>
          <w:color w:val="auto"/>
          <w:lang w:val="en-US" w:eastAsia="zh-CN"/>
        </w:rPr>
        <w:t>工</w:t>
      </w:r>
      <w:r>
        <w:rPr>
          <w:rFonts w:hint="eastAsia"/>
          <w:color w:val="auto"/>
          <w:lang w:eastAsia="zh-CN"/>
        </w:rPr>
        <w:t>的相关标准、规范要求，本着科学严谨、公正公平、可操作性强的原则制定评判标准并进行评判，全面评价参赛选手的职业能力。</w:t>
      </w:r>
    </w:p>
    <w:p w14:paraId="617A29FE">
      <w:pPr>
        <w:pStyle w:val="4"/>
        <w:bidi w:val="0"/>
        <w:rPr>
          <w:rFonts w:hint="eastAsia"/>
          <w:b/>
          <w:bCs/>
          <w:color w:val="auto"/>
          <w:lang w:eastAsia="zh-CN"/>
        </w:rPr>
      </w:pPr>
      <w:r>
        <w:rPr>
          <w:rFonts w:hint="eastAsia"/>
          <w:b/>
          <w:bCs/>
          <w:color w:val="auto"/>
          <w:lang w:eastAsia="zh-CN"/>
        </w:rPr>
        <w:t>（二）</w:t>
      </w:r>
      <w:bookmarkEnd w:id="1"/>
      <w:r>
        <w:rPr>
          <w:rFonts w:hint="eastAsia"/>
          <w:b/>
          <w:bCs/>
          <w:color w:val="auto"/>
          <w:lang w:eastAsia="zh-CN"/>
        </w:rPr>
        <w:t>实际操作比赛评判细则</w:t>
      </w:r>
    </w:p>
    <w:p w14:paraId="26A9D94F">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评判指标如表2所示。</w:t>
      </w:r>
    </w:p>
    <w:p w14:paraId="5D02629F">
      <w:pPr>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仿宋_GB2312" w:cs="微软雅黑"/>
          <w:color w:val="auto"/>
          <w:sz w:val="24"/>
          <w:szCs w:val="22"/>
          <w:lang w:eastAsia="zh-CN"/>
        </w:rPr>
      </w:pPr>
      <w:r>
        <w:rPr>
          <w:rFonts w:hint="eastAsia" w:ascii="宋体" w:hAnsi="宋体" w:eastAsia="仿宋_GB2312" w:cs="微软雅黑"/>
          <w:color w:val="auto"/>
          <w:sz w:val="24"/>
          <w:szCs w:val="22"/>
          <w:lang w:eastAsia="zh-CN"/>
        </w:rPr>
        <w:t>表2 实际操作部分评分指标</w:t>
      </w:r>
    </w:p>
    <w:tbl>
      <w:tblPr>
        <w:tblStyle w:val="10"/>
        <w:tblW w:w="853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447"/>
        <w:gridCol w:w="4110"/>
        <w:gridCol w:w="1418"/>
      </w:tblGrid>
      <w:tr w14:paraId="0587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Align w:val="center"/>
          </w:tcPr>
          <w:p w14:paraId="4B51EB9B">
            <w:pPr>
              <w:jc w:val="center"/>
              <w:rPr>
                <w:rFonts w:hint="eastAsia" w:ascii="宋体" w:hAnsi="宋体" w:cs="微软雅黑"/>
                <w:sz w:val="24"/>
                <w:szCs w:val="24"/>
                <w:lang w:eastAsia="zh-CN"/>
              </w:rPr>
            </w:pPr>
            <w:r>
              <w:rPr>
                <w:rFonts w:hint="eastAsia" w:ascii="宋体" w:hAnsi="宋体" w:cs="微软雅黑"/>
                <w:sz w:val="24"/>
                <w:szCs w:val="24"/>
                <w:lang w:eastAsia="zh-CN"/>
              </w:rPr>
              <w:t>一级指标</w:t>
            </w:r>
          </w:p>
        </w:tc>
        <w:tc>
          <w:tcPr>
            <w:tcW w:w="1447" w:type="dxa"/>
            <w:vAlign w:val="center"/>
          </w:tcPr>
          <w:p w14:paraId="20D6AE12">
            <w:pPr>
              <w:jc w:val="center"/>
              <w:rPr>
                <w:rFonts w:hint="eastAsia" w:ascii="宋体" w:hAnsi="宋体" w:cs="微软雅黑"/>
                <w:sz w:val="24"/>
                <w:szCs w:val="24"/>
                <w:lang w:eastAsia="zh-CN"/>
              </w:rPr>
            </w:pPr>
            <w:r>
              <w:rPr>
                <w:rFonts w:hint="eastAsia" w:ascii="宋体" w:hAnsi="宋体" w:cs="微软雅黑"/>
                <w:sz w:val="24"/>
                <w:szCs w:val="24"/>
                <w:lang w:eastAsia="zh-CN"/>
              </w:rPr>
              <w:t>分值</w:t>
            </w:r>
          </w:p>
        </w:tc>
        <w:tc>
          <w:tcPr>
            <w:tcW w:w="4110" w:type="dxa"/>
            <w:vAlign w:val="center"/>
          </w:tcPr>
          <w:p w14:paraId="25BF092E">
            <w:pPr>
              <w:jc w:val="center"/>
              <w:rPr>
                <w:rFonts w:hint="eastAsia" w:ascii="宋体" w:hAnsi="宋体" w:cs="微软雅黑"/>
                <w:sz w:val="24"/>
                <w:szCs w:val="24"/>
                <w:lang w:eastAsia="zh-CN"/>
              </w:rPr>
            </w:pPr>
            <w:r>
              <w:rPr>
                <w:rFonts w:hint="eastAsia" w:ascii="宋体" w:hAnsi="宋体" w:cs="微软雅黑"/>
                <w:sz w:val="24"/>
                <w:szCs w:val="24"/>
                <w:lang w:eastAsia="zh-CN"/>
              </w:rPr>
              <w:t>二级指标</w:t>
            </w:r>
          </w:p>
        </w:tc>
        <w:tc>
          <w:tcPr>
            <w:tcW w:w="1418" w:type="dxa"/>
            <w:vAlign w:val="center"/>
          </w:tcPr>
          <w:p w14:paraId="61AED414">
            <w:pPr>
              <w:jc w:val="center"/>
              <w:rPr>
                <w:rFonts w:hint="eastAsia" w:ascii="宋体" w:hAnsi="宋体" w:cs="微软雅黑"/>
                <w:sz w:val="24"/>
                <w:szCs w:val="24"/>
                <w:lang w:eastAsia="zh-CN"/>
              </w:rPr>
            </w:pPr>
            <w:r>
              <w:rPr>
                <w:rFonts w:hint="eastAsia" w:ascii="宋体" w:hAnsi="宋体" w:cs="微软雅黑"/>
                <w:sz w:val="24"/>
                <w:szCs w:val="24"/>
                <w:lang w:eastAsia="zh-CN"/>
              </w:rPr>
              <w:t>分值</w:t>
            </w:r>
          </w:p>
        </w:tc>
      </w:tr>
      <w:tr w14:paraId="688C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restart"/>
            <w:vAlign w:val="center"/>
          </w:tcPr>
          <w:p w14:paraId="7A30A9E4">
            <w:pPr>
              <w:jc w:val="center"/>
              <w:rPr>
                <w:rFonts w:hint="eastAsia" w:ascii="宋体" w:hAnsi="宋体" w:cs="微软雅黑"/>
                <w:sz w:val="24"/>
                <w:szCs w:val="24"/>
                <w:lang w:eastAsia="zh-CN"/>
              </w:rPr>
            </w:pPr>
            <w:r>
              <w:rPr>
                <w:rFonts w:hint="eastAsia" w:ascii="宋体" w:hAnsi="宋体" w:cs="微软雅黑"/>
                <w:sz w:val="24"/>
                <w:szCs w:val="24"/>
                <w:lang w:eastAsia="zh-CN"/>
              </w:rPr>
              <w:t>模块一</w:t>
            </w:r>
          </w:p>
        </w:tc>
        <w:tc>
          <w:tcPr>
            <w:tcW w:w="1447" w:type="dxa"/>
            <w:vMerge w:val="restart"/>
            <w:vAlign w:val="center"/>
          </w:tcPr>
          <w:p w14:paraId="5134D514">
            <w:pPr>
              <w:jc w:val="center"/>
              <w:rPr>
                <w:rFonts w:hint="eastAsia" w:ascii="宋体" w:hAnsi="宋体" w:cs="微软雅黑"/>
                <w:sz w:val="24"/>
                <w:szCs w:val="24"/>
                <w:lang w:eastAsia="zh-CN"/>
              </w:rPr>
            </w:pPr>
            <w:r>
              <w:rPr>
                <w:rFonts w:hint="eastAsia" w:ascii="宋体" w:hAnsi="宋体" w:cs="微软雅黑"/>
                <w:sz w:val="24"/>
                <w:szCs w:val="24"/>
                <w:lang w:eastAsia="zh-CN"/>
              </w:rPr>
              <w:t>30</w:t>
            </w:r>
          </w:p>
        </w:tc>
        <w:tc>
          <w:tcPr>
            <w:tcW w:w="4110" w:type="dxa"/>
            <w:vAlign w:val="center"/>
          </w:tcPr>
          <w:p w14:paraId="2AACC2F4">
            <w:pPr>
              <w:jc w:val="center"/>
              <w:rPr>
                <w:rFonts w:hint="eastAsia" w:ascii="宋体" w:hAnsi="宋体" w:cs="微软雅黑"/>
                <w:sz w:val="24"/>
                <w:szCs w:val="24"/>
                <w:lang w:eastAsia="zh-CN"/>
              </w:rPr>
            </w:pPr>
            <w:r>
              <w:rPr>
                <w:rFonts w:hint="eastAsia" w:ascii="宋体" w:hAnsi="宋体" w:cs="微软雅黑"/>
                <w:sz w:val="24"/>
                <w:szCs w:val="24"/>
                <w:lang w:eastAsia="zh-CN"/>
              </w:rPr>
              <w:t>起飞前各部位安全检查</w:t>
            </w:r>
          </w:p>
        </w:tc>
        <w:tc>
          <w:tcPr>
            <w:tcW w:w="1418" w:type="dxa"/>
            <w:vAlign w:val="center"/>
          </w:tcPr>
          <w:p w14:paraId="2C970921">
            <w:pPr>
              <w:jc w:val="center"/>
              <w:rPr>
                <w:rFonts w:hint="eastAsia" w:ascii="宋体" w:hAnsi="宋体" w:cs="微软雅黑"/>
                <w:sz w:val="24"/>
                <w:szCs w:val="24"/>
                <w:lang w:eastAsia="zh-CN"/>
              </w:rPr>
            </w:pPr>
            <w:r>
              <w:rPr>
                <w:rFonts w:hint="eastAsia" w:ascii="宋体" w:hAnsi="宋体" w:cs="微软雅黑"/>
                <w:sz w:val="24"/>
                <w:szCs w:val="24"/>
                <w:lang w:val="en-US" w:eastAsia="zh-CN"/>
              </w:rPr>
              <w:t>4</w:t>
            </w:r>
          </w:p>
        </w:tc>
      </w:tr>
      <w:tr w14:paraId="48F06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6A995D68">
            <w:pPr>
              <w:jc w:val="center"/>
              <w:rPr>
                <w:rFonts w:hint="eastAsia" w:ascii="宋体" w:hAnsi="宋体" w:cs="微软雅黑"/>
                <w:sz w:val="24"/>
                <w:szCs w:val="24"/>
                <w:lang w:eastAsia="zh-CN"/>
              </w:rPr>
            </w:pPr>
          </w:p>
        </w:tc>
        <w:tc>
          <w:tcPr>
            <w:tcW w:w="1447" w:type="dxa"/>
            <w:vMerge w:val="continue"/>
            <w:vAlign w:val="center"/>
          </w:tcPr>
          <w:p w14:paraId="0A080EF1">
            <w:pPr>
              <w:jc w:val="center"/>
              <w:rPr>
                <w:rFonts w:hint="eastAsia" w:ascii="宋体" w:hAnsi="宋体" w:cs="微软雅黑"/>
                <w:sz w:val="24"/>
                <w:szCs w:val="24"/>
                <w:lang w:eastAsia="zh-CN"/>
              </w:rPr>
            </w:pPr>
          </w:p>
        </w:tc>
        <w:tc>
          <w:tcPr>
            <w:tcW w:w="4110" w:type="dxa"/>
            <w:tcBorders>
              <w:top w:val="single" w:color="auto" w:sz="4" w:space="0"/>
              <w:bottom w:val="nil"/>
            </w:tcBorders>
            <w:vAlign w:val="center"/>
          </w:tcPr>
          <w:p w14:paraId="711BDE5B">
            <w:pPr>
              <w:jc w:val="center"/>
              <w:rPr>
                <w:rFonts w:hint="eastAsia" w:ascii="宋体" w:hAnsi="宋体" w:cs="微软雅黑"/>
                <w:sz w:val="24"/>
                <w:szCs w:val="24"/>
                <w:lang w:eastAsia="zh-CN"/>
              </w:rPr>
            </w:pPr>
            <w:r>
              <w:rPr>
                <w:rFonts w:hint="eastAsia" w:ascii="宋体" w:hAnsi="宋体" w:cs="微软雅黑"/>
                <w:sz w:val="24"/>
                <w:szCs w:val="24"/>
                <w:lang w:eastAsia="zh-CN"/>
              </w:rPr>
              <w:t>无人机各障碍穿越</w:t>
            </w:r>
          </w:p>
        </w:tc>
        <w:tc>
          <w:tcPr>
            <w:tcW w:w="1418" w:type="dxa"/>
            <w:vAlign w:val="center"/>
          </w:tcPr>
          <w:p w14:paraId="3CD7AE23">
            <w:pPr>
              <w:jc w:val="center"/>
              <w:rPr>
                <w:rFonts w:hint="default" w:ascii="宋体" w:hAnsi="宋体" w:cs="微软雅黑"/>
                <w:sz w:val="24"/>
                <w:szCs w:val="24"/>
                <w:lang w:val="en-US" w:eastAsia="zh-CN"/>
              </w:rPr>
            </w:pPr>
            <w:r>
              <w:rPr>
                <w:rFonts w:hint="eastAsia" w:ascii="宋体" w:hAnsi="宋体" w:cs="微软雅黑"/>
                <w:sz w:val="24"/>
                <w:szCs w:val="24"/>
                <w:lang w:val="en-US" w:eastAsia="zh-CN"/>
              </w:rPr>
              <w:t>15</w:t>
            </w:r>
          </w:p>
        </w:tc>
      </w:tr>
      <w:tr w14:paraId="3663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32D538C3">
            <w:pPr>
              <w:jc w:val="center"/>
              <w:rPr>
                <w:rFonts w:hint="eastAsia" w:ascii="宋体" w:hAnsi="宋体" w:cs="微软雅黑"/>
                <w:sz w:val="24"/>
                <w:szCs w:val="24"/>
                <w:lang w:eastAsia="zh-CN"/>
              </w:rPr>
            </w:pPr>
          </w:p>
        </w:tc>
        <w:tc>
          <w:tcPr>
            <w:tcW w:w="1447" w:type="dxa"/>
            <w:vMerge w:val="continue"/>
            <w:vAlign w:val="center"/>
          </w:tcPr>
          <w:p w14:paraId="6B25EAE0">
            <w:pPr>
              <w:jc w:val="center"/>
              <w:rPr>
                <w:rFonts w:hint="eastAsia" w:ascii="宋体" w:hAnsi="宋体" w:cs="微软雅黑"/>
                <w:sz w:val="24"/>
                <w:szCs w:val="24"/>
                <w:lang w:eastAsia="zh-CN"/>
              </w:rPr>
            </w:pPr>
          </w:p>
        </w:tc>
        <w:tc>
          <w:tcPr>
            <w:tcW w:w="4110" w:type="dxa"/>
            <w:tcBorders>
              <w:top w:val="single" w:color="auto" w:sz="4" w:space="0"/>
              <w:bottom w:val="nil"/>
            </w:tcBorders>
            <w:vAlign w:val="center"/>
          </w:tcPr>
          <w:p w14:paraId="58B3B7F4">
            <w:pPr>
              <w:jc w:val="center"/>
              <w:rPr>
                <w:rFonts w:hint="eastAsia" w:ascii="宋体" w:hAnsi="宋体" w:cs="微软雅黑"/>
                <w:sz w:val="24"/>
                <w:szCs w:val="24"/>
                <w:lang w:eastAsia="zh-CN"/>
              </w:rPr>
            </w:pPr>
            <w:r>
              <w:rPr>
                <w:rFonts w:hint="eastAsia" w:ascii="宋体" w:hAnsi="宋体" w:cs="微软雅黑"/>
                <w:sz w:val="24"/>
                <w:szCs w:val="24"/>
                <w:lang w:eastAsia="zh-CN"/>
              </w:rPr>
              <w:t>无人机的降落标准</w:t>
            </w:r>
          </w:p>
        </w:tc>
        <w:tc>
          <w:tcPr>
            <w:tcW w:w="1418" w:type="dxa"/>
            <w:vAlign w:val="center"/>
          </w:tcPr>
          <w:p w14:paraId="2FAD0D81">
            <w:pPr>
              <w:jc w:val="center"/>
              <w:rPr>
                <w:rFonts w:hint="eastAsia" w:ascii="宋体" w:hAnsi="宋体" w:cs="微软雅黑"/>
                <w:sz w:val="24"/>
                <w:szCs w:val="24"/>
                <w:lang w:eastAsia="zh-CN"/>
              </w:rPr>
            </w:pPr>
            <w:r>
              <w:rPr>
                <w:rFonts w:hint="eastAsia" w:ascii="宋体" w:hAnsi="宋体" w:cs="微软雅黑"/>
                <w:sz w:val="24"/>
                <w:szCs w:val="24"/>
                <w:lang w:val="en-US" w:eastAsia="zh-CN"/>
              </w:rPr>
              <w:t>4</w:t>
            </w:r>
          </w:p>
        </w:tc>
      </w:tr>
      <w:tr w14:paraId="2973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7DEB8784">
            <w:pPr>
              <w:jc w:val="center"/>
              <w:rPr>
                <w:rFonts w:hint="eastAsia" w:ascii="宋体" w:hAnsi="宋体" w:cs="微软雅黑"/>
                <w:sz w:val="24"/>
                <w:szCs w:val="24"/>
                <w:lang w:eastAsia="zh-CN"/>
              </w:rPr>
            </w:pPr>
          </w:p>
        </w:tc>
        <w:tc>
          <w:tcPr>
            <w:tcW w:w="1447" w:type="dxa"/>
            <w:vMerge w:val="continue"/>
            <w:vAlign w:val="center"/>
          </w:tcPr>
          <w:p w14:paraId="31975673">
            <w:pPr>
              <w:jc w:val="center"/>
              <w:rPr>
                <w:rFonts w:hint="eastAsia" w:ascii="宋体" w:hAnsi="宋体" w:cs="微软雅黑"/>
                <w:sz w:val="24"/>
                <w:szCs w:val="24"/>
                <w:lang w:eastAsia="zh-CN"/>
              </w:rPr>
            </w:pPr>
          </w:p>
        </w:tc>
        <w:tc>
          <w:tcPr>
            <w:tcW w:w="4110" w:type="dxa"/>
            <w:tcBorders>
              <w:top w:val="single" w:color="auto" w:sz="4" w:space="0"/>
              <w:bottom w:val="nil"/>
            </w:tcBorders>
            <w:vAlign w:val="center"/>
          </w:tcPr>
          <w:p w14:paraId="2B2AB1B4">
            <w:pPr>
              <w:jc w:val="center"/>
              <w:rPr>
                <w:rFonts w:hint="eastAsia" w:ascii="宋体" w:hAnsi="宋体" w:cs="微软雅黑"/>
                <w:sz w:val="24"/>
                <w:szCs w:val="24"/>
                <w:lang w:eastAsia="zh-CN"/>
              </w:rPr>
            </w:pPr>
            <w:r>
              <w:rPr>
                <w:rFonts w:hint="eastAsia" w:ascii="宋体" w:hAnsi="宋体" w:cs="微软雅黑"/>
                <w:sz w:val="24"/>
                <w:szCs w:val="24"/>
                <w:lang w:eastAsia="zh-CN"/>
              </w:rPr>
              <w:t>任务完成时间</w:t>
            </w:r>
          </w:p>
        </w:tc>
        <w:tc>
          <w:tcPr>
            <w:tcW w:w="1418" w:type="dxa"/>
            <w:vAlign w:val="center"/>
          </w:tcPr>
          <w:p w14:paraId="0C12CC6F">
            <w:pPr>
              <w:jc w:val="center"/>
              <w:rPr>
                <w:rFonts w:hint="default" w:ascii="宋体" w:hAnsi="宋体" w:cs="微软雅黑"/>
                <w:sz w:val="24"/>
                <w:szCs w:val="24"/>
                <w:lang w:val="en-US" w:eastAsia="zh-CN"/>
              </w:rPr>
            </w:pPr>
            <w:r>
              <w:rPr>
                <w:rFonts w:hint="eastAsia" w:ascii="宋体" w:hAnsi="宋体" w:cs="微软雅黑"/>
                <w:sz w:val="24"/>
                <w:szCs w:val="24"/>
                <w:lang w:val="en-US" w:eastAsia="zh-CN"/>
              </w:rPr>
              <w:t>7</w:t>
            </w:r>
          </w:p>
        </w:tc>
      </w:tr>
      <w:tr w14:paraId="6DDD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restart"/>
            <w:vAlign w:val="center"/>
          </w:tcPr>
          <w:p w14:paraId="61BFCC9D">
            <w:pPr>
              <w:jc w:val="center"/>
              <w:rPr>
                <w:rFonts w:hint="eastAsia" w:ascii="宋体" w:hAnsi="宋体" w:cs="微软雅黑"/>
                <w:sz w:val="24"/>
                <w:szCs w:val="24"/>
                <w:lang w:eastAsia="zh-CN"/>
              </w:rPr>
            </w:pPr>
            <w:r>
              <w:rPr>
                <w:rFonts w:hint="eastAsia" w:ascii="宋体" w:hAnsi="宋体" w:cs="微软雅黑"/>
                <w:sz w:val="24"/>
                <w:szCs w:val="24"/>
                <w:lang w:eastAsia="zh-CN"/>
              </w:rPr>
              <w:t>模块二</w:t>
            </w:r>
          </w:p>
        </w:tc>
        <w:tc>
          <w:tcPr>
            <w:tcW w:w="1447" w:type="dxa"/>
            <w:vMerge w:val="restart"/>
            <w:vAlign w:val="center"/>
          </w:tcPr>
          <w:p w14:paraId="346D3825">
            <w:pPr>
              <w:jc w:val="center"/>
              <w:rPr>
                <w:rFonts w:hint="eastAsia" w:ascii="宋体" w:hAnsi="宋体" w:cs="微软雅黑"/>
                <w:sz w:val="24"/>
                <w:szCs w:val="24"/>
                <w:lang w:eastAsia="zh-CN"/>
              </w:rPr>
            </w:pPr>
            <w:r>
              <w:rPr>
                <w:rFonts w:hint="eastAsia" w:ascii="宋体" w:hAnsi="宋体" w:cs="微软雅黑"/>
                <w:sz w:val="24"/>
                <w:szCs w:val="24"/>
                <w:lang w:eastAsia="zh-CN"/>
              </w:rPr>
              <w:t>30</w:t>
            </w:r>
          </w:p>
        </w:tc>
        <w:tc>
          <w:tcPr>
            <w:tcW w:w="4110" w:type="dxa"/>
            <w:vAlign w:val="center"/>
          </w:tcPr>
          <w:p w14:paraId="6C7499D7">
            <w:pPr>
              <w:jc w:val="center"/>
              <w:rPr>
                <w:rFonts w:hint="eastAsia" w:ascii="宋体" w:hAnsi="宋体" w:cs="微软雅黑"/>
                <w:sz w:val="24"/>
                <w:szCs w:val="24"/>
                <w:lang w:eastAsia="zh-CN"/>
              </w:rPr>
            </w:pPr>
            <w:r>
              <w:rPr>
                <w:rFonts w:hint="eastAsia" w:ascii="宋体" w:hAnsi="宋体" w:cs="微软雅黑"/>
                <w:sz w:val="24"/>
                <w:szCs w:val="24"/>
                <w:lang w:eastAsia="zh-CN"/>
              </w:rPr>
              <w:t>起飞前各部位安全检查</w:t>
            </w:r>
          </w:p>
        </w:tc>
        <w:tc>
          <w:tcPr>
            <w:tcW w:w="1418" w:type="dxa"/>
            <w:vAlign w:val="center"/>
          </w:tcPr>
          <w:p w14:paraId="378A8B80">
            <w:pPr>
              <w:jc w:val="center"/>
              <w:rPr>
                <w:rFonts w:hint="eastAsia" w:ascii="宋体" w:hAnsi="宋体" w:cs="微软雅黑"/>
                <w:sz w:val="24"/>
                <w:szCs w:val="24"/>
                <w:lang w:eastAsia="zh-CN"/>
              </w:rPr>
            </w:pPr>
            <w:r>
              <w:rPr>
                <w:rFonts w:hint="eastAsia" w:ascii="宋体" w:hAnsi="宋体" w:cs="微软雅黑"/>
                <w:sz w:val="24"/>
                <w:szCs w:val="24"/>
                <w:lang w:val="en-US" w:eastAsia="zh-CN"/>
              </w:rPr>
              <w:t>4</w:t>
            </w:r>
          </w:p>
        </w:tc>
      </w:tr>
      <w:tr w14:paraId="0FDD7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4A69828B">
            <w:pPr>
              <w:jc w:val="center"/>
              <w:rPr>
                <w:rFonts w:hint="eastAsia" w:ascii="宋体" w:hAnsi="宋体" w:cs="微软雅黑"/>
                <w:sz w:val="24"/>
                <w:szCs w:val="24"/>
                <w:lang w:eastAsia="zh-CN"/>
              </w:rPr>
            </w:pPr>
          </w:p>
        </w:tc>
        <w:tc>
          <w:tcPr>
            <w:tcW w:w="1447" w:type="dxa"/>
            <w:vMerge w:val="continue"/>
            <w:vAlign w:val="center"/>
          </w:tcPr>
          <w:p w14:paraId="765E42B8">
            <w:pPr>
              <w:jc w:val="center"/>
              <w:rPr>
                <w:rFonts w:hint="eastAsia" w:ascii="宋体" w:hAnsi="宋体" w:cs="微软雅黑"/>
                <w:sz w:val="24"/>
                <w:szCs w:val="24"/>
                <w:lang w:eastAsia="zh-CN"/>
              </w:rPr>
            </w:pPr>
          </w:p>
        </w:tc>
        <w:tc>
          <w:tcPr>
            <w:tcW w:w="4110" w:type="dxa"/>
            <w:vAlign w:val="center"/>
          </w:tcPr>
          <w:p w14:paraId="32403CD9">
            <w:pPr>
              <w:jc w:val="center"/>
              <w:rPr>
                <w:rFonts w:hint="eastAsia" w:ascii="宋体" w:hAnsi="宋体" w:cs="微软雅黑"/>
                <w:sz w:val="24"/>
                <w:szCs w:val="24"/>
                <w:lang w:eastAsia="zh-CN"/>
              </w:rPr>
            </w:pPr>
            <w:r>
              <w:rPr>
                <w:rFonts w:hint="eastAsia" w:ascii="宋体" w:hAnsi="宋体" w:cs="微软雅黑"/>
                <w:sz w:val="24"/>
                <w:szCs w:val="24"/>
                <w:lang w:eastAsia="zh-CN"/>
              </w:rPr>
              <w:t>无人机的巡检飞行</w:t>
            </w:r>
          </w:p>
        </w:tc>
        <w:tc>
          <w:tcPr>
            <w:tcW w:w="1418" w:type="dxa"/>
            <w:vAlign w:val="center"/>
          </w:tcPr>
          <w:p w14:paraId="549B8D67">
            <w:pPr>
              <w:jc w:val="center"/>
              <w:rPr>
                <w:rFonts w:hint="eastAsia" w:ascii="宋体" w:hAnsi="宋体" w:cs="微软雅黑"/>
                <w:sz w:val="24"/>
                <w:szCs w:val="24"/>
                <w:lang w:eastAsia="zh-CN"/>
              </w:rPr>
            </w:pPr>
            <w:r>
              <w:rPr>
                <w:rFonts w:hint="eastAsia" w:ascii="宋体" w:hAnsi="宋体" w:cs="微软雅黑"/>
                <w:sz w:val="24"/>
                <w:szCs w:val="24"/>
                <w:lang w:val="en-US" w:eastAsia="zh-CN"/>
              </w:rPr>
              <w:t>3</w:t>
            </w:r>
          </w:p>
        </w:tc>
      </w:tr>
      <w:tr w14:paraId="232E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55FE0870">
            <w:pPr>
              <w:jc w:val="center"/>
              <w:rPr>
                <w:rFonts w:hint="eastAsia" w:ascii="宋体" w:hAnsi="宋体" w:cs="微软雅黑"/>
                <w:sz w:val="24"/>
                <w:szCs w:val="24"/>
                <w:lang w:eastAsia="zh-CN"/>
              </w:rPr>
            </w:pPr>
          </w:p>
        </w:tc>
        <w:tc>
          <w:tcPr>
            <w:tcW w:w="1447" w:type="dxa"/>
            <w:vMerge w:val="continue"/>
            <w:vAlign w:val="center"/>
          </w:tcPr>
          <w:p w14:paraId="79356024">
            <w:pPr>
              <w:jc w:val="center"/>
              <w:rPr>
                <w:rFonts w:hint="eastAsia" w:ascii="宋体" w:hAnsi="宋体" w:cs="微软雅黑"/>
                <w:sz w:val="24"/>
                <w:szCs w:val="24"/>
                <w:lang w:eastAsia="zh-CN"/>
              </w:rPr>
            </w:pPr>
          </w:p>
        </w:tc>
        <w:tc>
          <w:tcPr>
            <w:tcW w:w="4110" w:type="dxa"/>
            <w:vAlign w:val="center"/>
          </w:tcPr>
          <w:p w14:paraId="58107C16">
            <w:pPr>
              <w:jc w:val="center"/>
              <w:rPr>
                <w:rFonts w:hint="eastAsia" w:ascii="宋体" w:hAnsi="宋体" w:cs="微软雅黑"/>
                <w:sz w:val="24"/>
                <w:szCs w:val="24"/>
                <w:lang w:eastAsia="zh-CN"/>
              </w:rPr>
            </w:pPr>
            <w:r>
              <w:rPr>
                <w:rFonts w:hint="eastAsia" w:ascii="宋体" w:hAnsi="宋体" w:cs="微软雅黑"/>
                <w:sz w:val="24"/>
                <w:szCs w:val="24"/>
                <w:lang w:eastAsia="zh-CN"/>
              </w:rPr>
              <w:t>无人机的拍照作业</w:t>
            </w:r>
          </w:p>
        </w:tc>
        <w:tc>
          <w:tcPr>
            <w:tcW w:w="1418" w:type="dxa"/>
            <w:vAlign w:val="center"/>
          </w:tcPr>
          <w:p w14:paraId="179A15E4">
            <w:pPr>
              <w:jc w:val="center"/>
              <w:rPr>
                <w:rFonts w:hint="default" w:ascii="宋体" w:hAnsi="宋体" w:cs="微软雅黑"/>
                <w:sz w:val="24"/>
                <w:szCs w:val="24"/>
                <w:lang w:val="en-US" w:eastAsia="zh-CN"/>
              </w:rPr>
            </w:pPr>
            <w:r>
              <w:rPr>
                <w:rFonts w:hint="eastAsia" w:ascii="宋体" w:hAnsi="宋体" w:cs="微软雅黑"/>
                <w:sz w:val="24"/>
                <w:szCs w:val="24"/>
                <w:lang w:val="en-US" w:eastAsia="zh-CN"/>
              </w:rPr>
              <w:t>12</w:t>
            </w:r>
          </w:p>
        </w:tc>
      </w:tr>
      <w:tr w14:paraId="3D62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5AEFF547">
            <w:pPr>
              <w:jc w:val="center"/>
              <w:rPr>
                <w:rFonts w:hint="eastAsia" w:ascii="宋体" w:hAnsi="宋体" w:cs="微软雅黑"/>
                <w:sz w:val="24"/>
                <w:szCs w:val="24"/>
                <w:lang w:eastAsia="zh-CN"/>
              </w:rPr>
            </w:pPr>
          </w:p>
        </w:tc>
        <w:tc>
          <w:tcPr>
            <w:tcW w:w="1447" w:type="dxa"/>
            <w:vMerge w:val="continue"/>
            <w:vAlign w:val="center"/>
          </w:tcPr>
          <w:p w14:paraId="538841BC">
            <w:pPr>
              <w:jc w:val="center"/>
              <w:rPr>
                <w:rFonts w:hint="eastAsia" w:ascii="宋体" w:hAnsi="宋体" w:cs="微软雅黑"/>
                <w:sz w:val="24"/>
                <w:szCs w:val="24"/>
                <w:lang w:eastAsia="zh-CN"/>
              </w:rPr>
            </w:pPr>
          </w:p>
        </w:tc>
        <w:tc>
          <w:tcPr>
            <w:tcW w:w="4110" w:type="dxa"/>
            <w:vAlign w:val="center"/>
          </w:tcPr>
          <w:p w14:paraId="09C66764">
            <w:pPr>
              <w:jc w:val="center"/>
              <w:rPr>
                <w:rFonts w:hint="eastAsia" w:ascii="宋体" w:hAnsi="宋体" w:cs="微软雅黑"/>
                <w:sz w:val="24"/>
                <w:szCs w:val="24"/>
                <w:lang w:eastAsia="zh-CN"/>
              </w:rPr>
            </w:pPr>
            <w:r>
              <w:rPr>
                <w:rFonts w:hint="eastAsia" w:ascii="宋体" w:hAnsi="宋体" w:cs="微软雅黑"/>
                <w:sz w:val="24"/>
                <w:szCs w:val="24"/>
                <w:lang w:eastAsia="zh-CN"/>
              </w:rPr>
              <w:t>无人机的降落标准</w:t>
            </w:r>
          </w:p>
        </w:tc>
        <w:tc>
          <w:tcPr>
            <w:tcW w:w="1418" w:type="dxa"/>
            <w:vAlign w:val="center"/>
          </w:tcPr>
          <w:p w14:paraId="69560C15">
            <w:pPr>
              <w:jc w:val="center"/>
              <w:rPr>
                <w:rFonts w:hint="eastAsia" w:ascii="宋体" w:hAnsi="宋体" w:cs="微软雅黑"/>
                <w:sz w:val="24"/>
                <w:szCs w:val="24"/>
                <w:lang w:eastAsia="zh-CN"/>
              </w:rPr>
            </w:pPr>
            <w:r>
              <w:rPr>
                <w:rFonts w:hint="eastAsia" w:ascii="宋体" w:hAnsi="宋体" w:cs="微软雅黑"/>
                <w:sz w:val="24"/>
                <w:szCs w:val="24"/>
                <w:lang w:val="en-US" w:eastAsia="zh-CN"/>
              </w:rPr>
              <w:t>4</w:t>
            </w:r>
          </w:p>
        </w:tc>
      </w:tr>
      <w:tr w14:paraId="4A3A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17B143AD">
            <w:pPr>
              <w:jc w:val="center"/>
              <w:rPr>
                <w:rFonts w:hint="eastAsia" w:ascii="宋体" w:hAnsi="宋体" w:cs="微软雅黑"/>
                <w:sz w:val="24"/>
                <w:szCs w:val="24"/>
                <w:lang w:eastAsia="zh-CN"/>
              </w:rPr>
            </w:pPr>
          </w:p>
        </w:tc>
        <w:tc>
          <w:tcPr>
            <w:tcW w:w="1447" w:type="dxa"/>
            <w:vMerge w:val="continue"/>
            <w:vAlign w:val="center"/>
          </w:tcPr>
          <w:p w14:paraId="1F9792A7">
            <w:pPr>
              <w:jc w:val="center"/>
              <w:rPr>
                <w:rFonts w:hint="eastAsia" w:ascii="宋体" w:hAnsi="宋体" w:cs="微软雅黑"/>
                <w:sz w:val="24"/>
                <w:szCs w:val="24"/>
                <w:lang w:eastAsia="zh-CN"/>
              </w:rPr>
            </w:pPr>
          </w:p>
        </w:tc>
        <w:tc>
          <w:tcPr>
            <w:tcW w:w="4110" w:type="dxa"/>
            <w:vAlign w:val="center"/>
          </w:tcPr>
          <w:p w14:paraId="54F4530A">
            <w:pPr>
              <w:jc w:val="center"/>
              <w:rPr>
                <w:rFonts w:hint="eastAsia" w:ascii="宋体" w:hAnsi="宋体" w:cs="微软雅黑"/>
                <w:sz w:val="24"/>
                <w:szCs w:val="24"/>
                <w:lang w:eastAsia="zh-CN"/>
              </w:rPr>
            </w:pPr>
            <w:r>
              <w:rPr>
                <w:rFonts w:hint="eastAsia" w:ascii="宋体" w:hAnsi="宋体" w:cs="微软雅黑"/>
                <w:sz w:val="24"/>
                <w:szCs w:val="24"/>
                <w:lang w:eastAsia="zh-CN"/>
              </w:rPr>
              <w:t>任务完成时间</w:t>
            </w:r>
          </w:p>
        </w:tc>
        <w:tc>
          <w:tcPr>
            <w:tcW w:w="1418" w:type="dxa"/>
            <w:vAlign w:val="center"/>
          </w:tcPr>
          <w:p w14:paraId="05676C3B">
            <w:pPr>
              <w:jc w:val="center"/>
              <w:rPr>
                <w:rFonts w:hint="default" w:ascii="宋体" w:hAnsi="宋体" w:cs="微软雅黑"/>
                <w:sz w:val="24"/>
                <w:szCs w:val="24"/>
                <w:lang w:val="en-US" w:eastAsia="zh-CN"/>
              </w:rPr>
            </w:pPr>
            <w:r>
              <w:rPr>
                <w:rFonts w:hint="eastAsia" w:ascii="宋体" w:hAnsi="宋体" w:cs="微软雅黑"/>
                <w:sz w:val="24"/>
                <w:szCs w:val="24"/>
                <w:lang w:val="en-US" w:eastAsia="zh-CN"/>
              </w:rPr>
              <w:t>7</w:t>
            </w:r>
          </w:p>
        </w:tc>
      </w:tr>
      <w:tr w14:paraId="625C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restart"/>
            <w:vAlign w:val="center"/>
          </w:tcPr>
          <w:p w14:paraId="4277D85E">
            <w:pPr>
              <w:jc w:val="center"/>
              <w:rPr>
                <w:rFonts w:hint="eastAsia" w:ascii="宋体" w:hAnsi="宋体" w:cs="微软雅黑"/>
                <w:sz w:val="24"/>
                <w:szCs w:val="24"/>
                <w:lang w:eastAsia="zh-CN"/>
              </w:rPr>
            </w:pPr>
            <w:r>
              <w:rPr>
                <w:rFonts w:hint="eastAsia" w:ascii="宋体" w:hAnsi="宋体" w:cs="微软雅黑"/>
                <w:sz w:val="24"/>
                <w:szCs w:val="24"/>
                <w:lang w:eastAsia="zh-CN"/>
              </w:rPr>
              <w:t>模块三</w:t>
            </w:r>
          </w:p>
        </w:tc>
        <w:tc>
          <w:tcPr>
            <w:tcW w:w="1447" w:type="dxa"/>
            <w:vMerge w:val="restart"/>
            <w:vAlign w:val="center"/>
          </w:tcPr>
          <w:p w14:paraId="64E7599E">
            <w:pPr>
              <w:jc w:val="center"/>
              <w:rPr>
                <w:rFonts w:hint="eastAsia" w:ascii="宋体" w:hAnsi="宋体" w:cs="微软雅黑"/>
                <w:sz w:val="24"/>
                <w:szCs w:val="24"/>
                <w:lang w:eastAsia="zh-CN"/>
              </w:rPr>
            </w:pPr>
            <w:r>
              <w:rPr>
                <w:rFonts w:hint="eastAsia" w:ascii="宋体" w:hAnsi="宋体" w:cs="微软雅黑"/>
                <w:sz w:val="24"/>
                <w:szCs w:val="24"/>
                <w:lang w:eastAsia="zh-CN"/>
              </w:rPr>
              <w:t>40</w:t>
            </w:r>
          </w:p>
        </w:tc>
        <w:tc>
          <w:tcPr>
            <w:tcW w:w="4110" w:type="dxa"/>
            <w:vAlign w:val="center"/>
          </w:tcPr>
          <w:p w14:paraId="68036F6B">
            <w:pPr>
              <w:jc w:val="center"/>
              <w:rPr>
                <w:rFonts w:hint="eastAsia" w:ascii="宋体" w:hAnsi="宋体" w:cs="微软雅黑"/>
                <w:sz w:val="24"/>
                <w:szCs w:val="24"/>
                <w:lang w:eastAsia="zh-CN"/>
              </w:rPr>
            </w:pPr>
            <w:r>
              <w:rPr>
                <w:rFonts w:hint="eastAsia" w:ascii="宋体" w:hAnsi="宋体" w:cs="微软雅黑"/>
                <w:sz w:val="24"/>
                <w:szCs w:val="24"/>
                <w:lang w:eastAsia="zh-CN"/>
              </w:rPr>
              <w:t>起飞前各部位安全检查</w:t>
            </w:r>
          </w:p>
        </w:tc>
        <w:tc>
          <w:tcPr>
            <w:tcW w:w="1418" w:type="dxa"/>
            <w:vAlign w:val="center"/>
          </w:tcPr>
          <w:p w14:paraId="393D4E5A">
            <w:pPr>
              <w:jc w:val="center"/>
              <w:rPr>
                <w:rFonts w:hint="eastAsia" w:ascii="宋体" w:hAnsi="宋体" w:cs="微软雅黑"/>
                <w:sz w:val="24"/>
                <w:szCs w:val="24"/>
                <w:lang w:eastAsia="zh-CN"/>
              </w:rPr>
            </w:pPr>
            <w:r>
              <w:rPr>
                <w:rFonts w:hint="eastAsia" w:ascii="宋体" w:hAnsi="宋体" w:cs="微软雅黑"/>
                <w:sz w:val="24"/>
                <w:szCs w:val="24"/>
                <w:lang w:val="en-US" w:eastAsia="zh-CN"/>
              </w:rPr>
              <w:t>4</w:t>
            </w:r>
          </w:p>
        </w:tc>
      </w:tr>
      <w:tr w14:paraId="3C1E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11A81BFB">
            <w:pPr>
              <w:jc w:val="center"/>
              <w:rPr>
                <w:rFonts w:hint="eastAsia" w:ascii="宋体" w:hAnsi="宋体" w:cs="微软雅黑"/>
                <w:sz w:val="24"/>
                <w:szCs w:val="24"/>
                <w:lang w:eastAsia="zh-CN"/>
              </w:rPr>
            </w:pPr>
          </w:p>
        </w:tc>
        <w:tc>
          <w:tcPr>
            <w:tcW w:w="1447" w:type="dxa"/>
            <w:vMerge w:val="continue"/>
            <w:vAlign w:val="center"/>
          </w:tcPr>
          <w:p w14:paraId="3015CA55">
            <w:pPr>
              <w:jc w:val="center"/>
              <w:rPr>
                <w:rFonts w:hint="eastAsia" w:ascii="宋体" w:hAnsi="宋体" w:cs="微软雅黑"/>
                <w:sz w:val="24"/>
                <w:szCs w:val="24"/>
                <w:lang w:eastAsia="zh-CN"/>
              </w:rPr>
            </w:pPr>
          </w:p>
        </w:tc>
        <w:tc>
          <w:tcPr>
            <w:tcW w:w="4110" w:type="dxa"/>
            <w:vAlign w:val="center"/>
          </w:tcPr>
          <w:p w14:paraId="54B8789D">
            <w:pPr>
              <w:jc w:val="center"/>
              <w:rPr>
                <w:rFonts w:hint="eastAsia" w:ascii="宋体" w:hAnsi="宋体" w:cs="微软雅黑"/>
                <w:sz w:val="24"/>
                <w:szCs w:val="24"/>
                <w:lang w:eastAsia="zh-CN"/>
              </w:rPr>
            </w:pPr>
            <w:r>
              <w:rPr>
                <w:rFonts w:hint="eastAsia" w:ascii="宋体" w:hAnsi="宋体" w:cs="微软雅黑"/>
                <w:sz w:val="24"/>
                <w:szCs w:val="24"/>
                <w:lang w:eastAsia="zh-CN"/>
              </w:rPr>
              <w:t>无人机各障碍穿越</w:t>
            </w:r>
          </w:p>
        </w:tc>
        <w:tc>
          <w:tcPr>
            <w:tcW w:w="1418" w:type="dxa"/>
            <w:vAlign w:val="center"/>
          </w:tcPr>
          <w:p w14:paraId="1A35C6E7">
            <w:pPr>
              <w:jc w:val="center"/>
              <w:rPr>
                <w:rFonts w:hint="eastAsia" w:ascii="宋体" w:hAnsi="宋体" w:cs="微软雅黑"/>
                <w:sz w:val="24"/>
                <w:szCs w:val="24"/>
                <w:lang w:eastAsia="zh-CN"/>
              </w:rPr>
            </w:pPr>
            <w:r>
              <w:rPr>
                <w:rFonts w:hint="eastAsia" w:ascii="宋体" w:hAnsi="宋体" w:cs="微软雅黑"/>
                <w:sz w:val="24"/>
                <w:szCs w:val="24"/>
                <w:lang w:eastAsia="zh-CN"/>
              </w:rPr>
              <w:t>1</w:t>
            </w:r>
            <w:r>
              <w:rPr>
                <w:rFonts w:hint="eastAsia" w:ascii="宋体" w:hAnsi="宋体" w:cs="微软雅黑"/>
                <w:sz w:val="24"/>
                <w:szCs w:val="24"/>
                <w:lang w:val="en-US" w:eastAsia="zh-CN"/>
              </w:rPr>
              <w:t>2</w:t>
            </w:r>
          </w:p>
        </w:tc>
      </w:tr>
      <w:tr w14:paraId="4561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5B8E2674">
            <w:pPr>
              <w:jc w:val="center"/>
              <w:rPr>
                <w:rFonts w:hint="eastAsia" w:ascii="宋体" w:hAnsi="宋体" w:cs="微软雅黑"/>
                <w:sz w:val="24"/>
                <w:szCs w:val="24"/>
                <w:lang w:eastAsia="zh-CN"/>
              </w:rPr>
            </w:pPr>
          </w:p>
        </w:tc>
        <w:tc>
          <w:tcPr>
            <w:tcW w:w="1447" w:type="dxa"/>
            <w:vMerge w:val="continue"/>
            <w:vAlign w:val="center"/>
          </w:tcPr>
          <w:p w14:paraId="58F015F8">
            <w:pPr>
              <w:jc w:val="center"/>
              <w:rPr>
                <w:rFonts w:hint="eastAsia" w:ascii="宋体" w:hAnsi="宋体" w:cs="微软雅黑"/>
                <w:sz w:val="24"/>
                <w:szCs w:val="24"/>
                <w:lang w:eastAsia="zh-CN"/>
              </w:rPr>
            </w:pPr>
          </w:p>
        </w:tc>
        <w:tc>
          <w:tcPr>
            <w:tcW w:w="4110" w:type="dxa"/>
            <w:vAlign w:val="center"/>
          </w:tcPr>
          <w:p w14:paraId="04BDEB66">
            <w:pPr>
              <w:jc w:val="center"/>
              <w:rPr>
                <w:rFonts w:hint="eastAsia" w:ascii="宋体" w:hAnsi="宋体" w:cs="微软雅黑"/>
                <w:sz w:val="24"/>
                <w:szCs w:val="24"/>
                <w:lang w:eastAsia="zh-CN"/>
              </w:rPr>
            </w:pPr>
            <w:r>
              <w:rPr>
                <w:rFonts w:hint="eastAsia" w:ascii="宋体" w:hAnsi="宋体" w:cs="微软雅黑"/>
                <w:sz w:val="24"/>
                <w:szCs w:val="24"/>
                <w:lang w:eastAsia="zh-CN"/>
              </w:rPr>
              <w:t>无人机的挂载投放</w:t>
            </w:r>
          </w:p>
        </w:tc>
        <w:tc>
          <w:tcPr>
            <w:tcW w:w="1418" w:type="dxa"/>
            <w:vAlign w:val="center"/>
          </w:tcPr>
          <w:p w14:paraId="0BAA703A">
            <w:pPr>
              <w:jc w:val="center"/>
              <w:rPr>
                <w:rFonts w:hint="eastAsia" w:ascii="宋体" w:hAnsi="宋体" w:cs="微软雅黑"/>
                <w:sz w:val="24"/>
                <w:szCs w:val="24"/>
                <w:lang w:eastAsia="zh-CN"/>
              </w:rPr>
            </w:pPr>
            <w:r>
              <w:rPr>
                <w:rFonts w:hint="eastAsia" w:ascii="宋体" w:hAnsi="宋体" w:cs="微软雅黑"/>
                <w:sz w:val="24"/>
                <w:szCs w:val="24"/>
                <w:lang w:eastAsia="zh-CN"/>
              </w:rPr>
              <w:t>1</w:t>
            </w:r>
            <w:r>
              <w:rPr>
                <w:rFonts w:hint="eastAsia" w:ascii="宋体" w:hAnsi="宋体" w:cs="微软雅黑"/>
                <w:sz w:val="24"/>
                <w:szCs w:val="24"/>
                <w:lang w:val="en-US" w:eastAsia="zh-CN"/>
              </w:rPr>
              <w:t>3</w:t>
            </w:r>
          </w:p>
        </w:tc>
      </w:tr>
      <w:tr w14:paraId="06E0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4395D911">
            <w:pPr>
              <w:jc w:val="center"/>
              <w:rPr>
                <w:rFonts w:hint="eastAsia" w:ascii="宋体" w:hAnsi="宋体" w:cs="微软雅黑"/>
                <w:sz w:val="24"/>
                <w:szCs w:val="24"/>
                <w:lang w:eastAsia="zh-CN"/>
              </w:rPr>
            </w:pPr>
          </w:p>
        </w:tc>
        <w:tc>
          <w:tcPr>
            <w:tcW w:w="1447" w:type="dxa"/>
            <w:vMerge w:val="continue"/>
            <w:vAlign w:val="center"/>
          </w:tcPr>
          <w:p w14:paraId="6E0703AC">
            <w:pPr>
              <w:jc w:val="center"/>
              <w:rPr>
                <w:rFonts w:hint="eastAsia" w:ascii="宋体" w:hAnsi="宋体" w:cs="微软雅黑"/>
                <w:sz w:val="24"/>
                <w:szCs w:val="24"/>
                <w:lang w:eastAsia="zh-CN"/>
              </w:rPr>
            </w:pPr>
          </w:p>
        </w:tc>
        <w:tc>
          <w:tcPr>
            <w:tcW w:w="4110" w:type="dxa"/>
            <w:vAlign w:val="center"/>
          </w:tcPr>
          <w:p w14:paraId="402D5384">
            <w:pPr>
              <w:jc w:val="center"/>
              <w:rPr>
                <w:rFonts w:hint="eastAsia" w:ascii="宋体" w:hAnsi="宋体" w:cs="微软雅黑"/>
                <w:sz w:val="24"/>
                <w:szCs w:val="24"/>
                <w:lang w:eastAsia="zh-CN"/>
              </w:rPr>
            </w:pPr>
            <w:r>
              <w:rPr>
                <w:rFonts w:hint="eastAsia" w:ascii="宋体" w:hAnsi="宋体" w:cs="微软雅黑"/>
                <w:sz w:val="24"/>
                <w:szCs w:val="24"/>
                <w:lang w:eastAsia="zh-CN"/>
              </w:rPr>
              <w:t>无人机的降落标准</w:t>
            </w:r>
          </w:p>
        </w:tc>
        <w:tc>
          <w:tcPr>
            <w:tcW w:w="1418" w:type="dxa"/>
            <w:tcBorders>
              <w:bottom w:val="single" w:color="auto" w:sz="4" w:space="0"/>
            </w:tcBorders>
            <w:vAlign w:val="center"/>
          </w:tcPr>
          <w:p w14:paraId="241A88BA">
            <w:pPr>
              <w:jc w:val="center"/>
              <w:rPr>
                <w:rFonts w:hint="eastAsia" w:ascii="宋体" w:hAnsi="宋体" w:cs="微软雅黑"/>
                <w:sz w:val="24"/>
                <w:szCs w:val="24"/>
                <w:lang w:eastAsia="zh-CN"/>
              </w:rPr>
            </w:pPr>
            <w:r>
              <w:rPr>
                <w:rFonts w:hint="eastAsia" w:ascii="宋体" w:hAnsi="宋体" w:cs="微软雅黑"/>
                <w:sz w:val="24"/>
                <w:szCs w:val="24"/>
                <w:lang w:val="en-US" w:eastAsia="zh-CN"/>
              </w:rPr>
              <w:t>4</w:t>
            </w:r>
          </w:p>
        </w:tc>
      </w:tr>
      <w:tr w14:paraId="2A8E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Merge w:val="continue"/>
            <w:vAlign w:val="center"/>
          </w:tcPr>
          <w:p w14:paraId="30025A8A">
            <w:pPr>
              <w:jc w:val="center"/>
              <w:rPr>
                <w:rFonts w:hint="eastAsia" w:ascii="宋体" w:hAnsi="宋体" w:cs="微软雅黑"/>
                <w:sz w:val="24"/>
                <w:szCs w:val="24"/>
                <w:lang w:eastAsia="zh-CN"/>
              </w:rPr>
            </w:pPr>
          </w:p>
        </w:tc>
        <w:tc>
          <w:tcPr>
            <w:tcW w:w="1447" w:type="dxa"/>
            <w:vMerge w:val="continue"/>
            <w:vAlign w:val="center"/>
          </w:tcPr>
          <w:p w14:paraId="5E4C540D">
            <w:pPr>
              <w:jc w:val="center"/>
              <w:rPr>
                <w:rFonts w:hint="eastAsia" w:ascii="宋体" w:hAnsi="宋体" w:cs="微软雅黑"/>
                <w:sz w:val="24"/>
                <w:szCs w:val="24"/>
                <w:lang w:eastAsia="zh-CN"/>
              </w:rPr>
            </w:pPr>
          </w:p>
        </w:tc>
        <w:tc>
          <w:tcPr>
            <w:tcW w:w="4110" w:type="dxa"/>
            <w:vAlign w:val="center"/>
          </w:tcPr>
          <w:p w14:paraId="3BB45C70">
            <w:pPr>
              <w:jc w:val="center"/>
              <w:rPr>
                <w:rFonts w:hint="eastAsia" w:ascii="宋体" w:hAnsi="宋体" w:cs="微软雅黑"/>
                <w:sz w:val="24"/>
                <w:szCs w:val="24"/>
                <w:lang w:eastAsia="zh-CN"/>
              </w:rPr>
            </w:pPr>
            <w:r>
              <w:rPr>
                <w:rFonts w:hint="eastAsia" w:ascii="宋体" w:hAnsi="宋体" w:cs="微软雅黑"/>
                <w:sz w:val="24"/>
                <w:szCs w:val="24"/>
                <w:lang w:eastAsia="zh-CN"/>
              </w:rPr>
              <w:t>任务完成时间</w:t>
            </w:r>
          </w:p>
        </w:tc>
        <w:tc>
          <w:tcPr>
            <w:tcW w:w="1418" w:type="dxa"/>
            <w:tcBorders>
              <w:bottom w:val="single" w:color="auto" w:sz="4" w:space="0"/>
            </w:tcBorders>
            <w:vAlign w:val="center"/>
          </w:tcPr>
          <w:p w14:paraId="3A6EF8B1">
            <w:pPr>
              <w:jc w:val="center"/>
              <w:rPr>
                <w:rFonts w:hint="default" w:ascii="宋体" w:hAnsi="宋体" w:cs="微软雅黑"/>
                <w:sz w:val="24"/>
                <w:szCs w:val="24"/>
                <w:lang w:val="en-US" w:eastAsia="zh-CN"/>
              </w:rPr>
            </w:pPr>
            <w:r>
              <w:rPr>
                <w:rFonts w:hint="eastAsia" w:ascii="宋体" w:hAnsi="宋体" w:cs="微软雅黑"/>
                <w:sz w:val="24"/>
                <w:szCs w:val="24"/>
                <w:lang w:val="en-US" w:eastAsia="zh-CN"/>
              </w:rPr>
              <w:t>7</w:t>
            </w:r>
          </w:p>
        </w:tc>
      </w:tr>
      <w:tr w14:paraId="7E11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9" w:type="dxa"/>
            <w:vAlign w:val="center"/>
          </w:tcPr>
          <w:p w14:paraId="54547AF4">
            <w:pPr>
              <w:jc w:val="center"/>
              <w:rPr>
                <w:rFonts w:hint="eastAsia" w:ascii="宋体" w:hAnsi="宋体" w:cs="微软雅黑"/>
                <w:sz w:val="24"/>
                <w:szCs w:val="24"/>
                <w:lang w:eastAsia="zh-CN"/>
              </w:rPr>
            </w:pPr>
            <w:r>
              <w:rPr>
                <w:rFonts w:hint="eastAsia" w:ascii="宋体" w:hAnsi="宋体" w:cs="微软雅黑"/>
                <w:sz w:val="24"/>
                <w:szCs w:val="24"/>
                <w:lang w:eastAsia="zh-CN"/>
              </w:rPr>
              <w:t>职业素养</w:t>
            </w:r>
          </w:p>
        </w:tc>
        <w:tc>
          <w:tcPr>
            <w:tcW w:w="1447" w:type="dxa"/>
            <w:vAlign w:val="center"/>
          </w:tcPr>
          <w:p w14:paraId="5DB02953">
            <w:pPr>
              <w:jc w:val="center"/>
              <w:rPr>
                <w:rFonts w:hint="eastAsia" w:ascii="宋体" w:hAnsi="宋体" w:cs="微软雅黑"/>
                <w:sz w:val="24"/>
                <w:szCs w:val="24"/>
                <w:lang w:eastAsia="zh-CN"/>
              </w:rPr>
            </w:pPr>
            <w:r>
              <w:rPr>
                <w:rFonts w:hint="eastAsia" w:ascii="宋体" w:hAnsi="宋体" w:cs="微软雅黑"/>
                <w:sz w:val="24"/>
                <w:szCs w:val="24"/>
                <w:lang w:eastAsia="zh-CN"/>
              </w:rPr>
              <w:t>在竞赛过程中考核</w:t>
            </w:r>
          </w:p>
        </w:tc>
        <w:tc>
          <w:tcPr>
            <w:tcW w:w="4110" w:type="dxa"/>
            <w:vAlign w:val="center"/>
          </w:tcPr>
          <w:p w14:paraId="6B6E3131">
            <w:pPr>
              <w:jc w:val="center"/>
              <w:rPr>
                <w:rFonts w:hint="eastAsia" w:ascii="宋体" w:hAnsi="宋体" w:cs="微软雅黑"/>
                <w:sz w:val="24"/>
                <w:szCs w:val="24"/>
                <w:lang w:eastAsia="zh-CN"/>
              </w:rPr>
            </w:pPr>
            <w:r>
              <w:rPr>
                <w:rFonts w:hint="eastAsia" w:ascii="宋体" w:hAnsi="宋体" w:cs="微软雅黑"/>
                <w:sz w:val="24"/>
                <w:szCs w:val="24"/>
                <w:lang w:eastAsia="zh-CN"/>
              </w:rPr>
              <w:t>职业技能操作规范、着装、安全、职业素养等。</w:t>
            </w:r>
          </w:p>
        </w:tc>
        <w:tc>
          <w:tcPr>
            <w:tcW w:w="1418" w:type="dxa"/>
            <w:tcBorders>
              <w:bottom w:val="single" w:color="auto" w:sz="4" w:space="0"/>
              <w:tr2bl w:val="single" w:color="auto" w:sz="4" w:space="0"/>
            </w:tcBorders>
            <w:vAlign w:val="center"/>
          </w:tcPr>
          <w:p w14:paraId="2FB2EB70">
            <w:pPr>
              <w:jc w:val="center"/>
              <w:rPr>
                <w:rFonts w:hint="eastAsia" w:ascii="宋体" w:hAnsi="宋体" w:cs="微软雅黑"/>
                <w:sz w:val="24"/>
                <w:szCs w:val="24"/>
                <w:lang w:eastAsia="zh-CN"/>
              </w:rPr>
            </w:pPr>
          </w:p>
        </w:tc>
      </w:tr>
    </w:tbl>
    <w:p w14:paraId="4F3B9FC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仿宋_GB2312" w:cs="微软雅黑"/>
          <w:color w:val="auto"/>
          <w:sz w:val="24"/>
          <w:szCs w:val="22"/>
          <w:lang w:eastAsia="zh-CN"/>
        </w:rPr>
      </w:pPr>
      <w:r>
        <w:rPr>
          <w:rFonts w:hint="eastAsia" w:ascii="宋体" w:hAnsi="宋体" w:eastAsia="仿宋_GB2312" w:cs="微软雅黑"/>
          <w:color w:val="auto"/>
          <w:sz w:val="24"/>
          <w:szCs w:val="22"/>
          <w:lang w:eastAsia="zh-CN"/>
        </w:rPr>
        <w:t>注：</w:t>
      </w:r>
      <w:r>
        <w:rPr>
          <w:rFonts w:ascii="宋体" w:hAnsi="宋体" w:eastAsia="仿宋_GB2312" w:cs="微软雅黑"/>
          <w:color w:val="auto"/>
          <w:sz w:val="24"/>
          <w:szCs w:val="22"/>
          <w:lang w:eastAsia="zh-CN"/>
        </w:rPr>
        <w:t>1.</w:t>
      </w:r>
      <w:r>
        <w:rPr>
          <w:rFonts w:hint="eastAsia" w:ascii="宋体" w:hAnsi="宋体" w:eastAsia="仿宋_GB2312" w:cs="微软雅黑"/>
          <w:color w:val="auto"/>
          <w:sz w:val="24"/>
          <w:szCs w:val="22"/>
          <w:lang w:eastAsia="zh-CN"/>
        </w:rPr>
        <w:t>职业素养部分不具体配分，但在工作过程中违反有关规定，从参赛选手实际操作竞赛总得分中扣除</w:t>
      </w:r>
      <w:r>
        <w:rPr>
          <w:rFonts w:ascii="宋体" w:hAnsi="宋体" w:eastAsia="仿宋_GB2312" w:cs="微软雅黑"/>
          <w:color w:val="auto"/>
          <w:sz w:val="24"/>
          <w:szCs w:val="22"/>
          <w:lang w:eastAsia="zh-CN"/>
        </w:rPr>
        <w:t>2-10</w:t>
      </w:r>
      <w:r>
        <w:rPr>
          <w:rFonts w:hint="eastAsia" w:ascii="宋体" w:hAnsi="宋体" w:eastAsia="仿宋_GB2312" w:cs="微软雅黑"/>
          <w:color w:val="auto"/>
          <w:sz w:val="24"/>
          <w:szCs w:val="22"/>
          <w:lang w:eastAsia="zh-CN"/>
        </w:rPr>
        <w:t>分。严重违规者中止比赛，并取消本竞赛模块分数。</w:t>
      </w:r>
      <w:r>
        <w:rPr>
          <w:rFonts w:ascii="宋体" w:hAnsi="宋体" w:eastAsia="仿宋_GB2312" w:cs="微软雅黑"/>
          <w:color w:val="auto"/>
          <w:sz w:val="24"/>
          <w:szCs w:val="22"/>
          <w:lang w:eastAsia="zh-CN"/>
        </w:rPr>
        <w:t>2.</w:t>
      </w:r>
      <w:r>
        <w:rPr>
          <w:rFonts w:hint="eastAsia" w:ascii="宋体" w:hAnsi="宋体" w:eastAsia="仿宋_GB2312" w:cs="微软雅黑"/>
          <w:color w:val="auto"/>
          <w:sz w:val="24"/>
          <w:szCs w:val="22"/>
          <w:lang w:eastAsia="zh-CN"/>
        </w:rPr>
        <w:t xml:space="preserve">实际竞赛过程中各指标所占比例可能有所微调。 </w:t>
      </w:r>
    </w:p>
    <w:p w14:paraId="2EE20843">
      <w:pPr>
        <w:pStyle w:val="4"/>
        <w:bidi w:val="0"/>
        <w:rPr>
          <w:rFonts w:hint="eastAsia"/>
          <w:b/>
          <w:bCs/>
          <w:color w:val="auto"/>
          <w:lang w:eastAsia="zh-CN"/>
        </w:rPr>
      </w:pPr>
      <w:r>
        <w:rPr>
          <w:rFonts w:hint="eastAsia"/>
          <w:b/>
          <w:bCs/>
          <w:color w:val="auto"/>
          <w:lang w:eastAsia="zh-CN"/>
        </w:rPr>
        <w:t>（三）评判方法</w:t>
      </w:r>
    </w:p>
    <w:p w14:paraId="3063ABF6">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1.评判原则</w:t>
      </w:r>
    </w:p>
    <w:p w14:paraId="7AC8C9FD">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评判采取客观评判为主的方式，针对操作过程中在各个关键点所应呈现的技术指标、系统状态或实现的功能是否符合任务书的设计要求，列出各评判项、评判标准和测试方法以及技术指标进行评判。评分表根据比赛试题制定。</w:t>
      </w:r>
    </w:p>
    <w:p w14:paraId="03F9F603">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w:t>
      </w:r>
      <w:r>
        <w:rPr>
          <w:rFonts w:hint="eastAsia"/>
          <w:color w:val="auto"/>
          <w:lang w:val="en-US" w:eastAsia="zh-CN"/>
        </w:rPr>
        <w:t>.</w:t>
      </w:r>
      <w:r>
        <w:rPr>
          <w:rFonts w:hint="eastAsia"/>
          <w:color w:val="auto"/>
          <w:lang w:eastAsia="zh-CN"/>
        </w:rPr>
        <w:t>比赛流程</w:t>
      </w:r>
    </w:p>
    <w:p w14:paraId="275F7163">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选手需要依据依据任务书依次完成三个模块的比赛。</w:t>
      </w:r>
    </w:p>
    <w:p w14:paraId="138DA175">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w:t>
      </w:r>
      <w:r>
        <w:rPr>
          <w:rFonts w:hint="eastAsia"/>
          <w:color w:val="auto"/>
          <w:lang w:val="en-US" w:eastAsia="zh-CN"/>
        </w:rPr>
        <w:t>.</w:t>
      </w:r>
      <w:r>
        <w:rPr>
          <w:rFonts w:hint="eastAsia"/>
          <w:color w:val="auto"/>
          <w:lang w:eastAsia="zh-CN"/>
        </w:rPr>
        <w:t>评分流程</w:t>
      </w:r>
    </w:p>
    <w:p w14:paraId="3B77CBB6">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选手完成每一个模块的操作后，举手示意裁判评分，每个任务模块只评判一次，裁判员评分结束，表示本模块比赛完成。</w:t>
      </w:r>
    </w:p>
    <w:p w14:paraId="7DCEE685">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由若干裁判员组成评分小组，对照评判标准，依据评分项对选手工作任务完成情况进行评测，最终确定出每位选手的具体成绩。</w:t>
      </w:r>
    </w:p>
    <w:p w14:paraId="4BA1EB6D">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4</w:t>
      </w:r>
      <w:r>
        <w:rPr>
          <w:rFonts w:hint="eastAsia"/>
          <w:color w:val="auto"/>
          <w:lang w:eastAsia="zh-CN"/>
        </w:rPr>
        <w:t>.违规扣分</w:t>
      </w:r>
    </w:p>
    <w:p w14:paraId="1F6440B9">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（1）在完成工作任务的过程中，因操作不当导致人身或设备安全事故扣10分，直至取消比赛资格。</w:t>
      </w:r>
    </w:p>
    <w:p w14:paraId="570DE9D3">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（2）损坏赛场提供的设备，污染赛场环境等不符合职业规范的行为扣5分。</w:t>
      </w:r>
    </w:p>
    <w:p w14:paraId="538E677E">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（3）在竞赛时段，参赛选手有不服从裁判扰乱赛场秩序、有作弊行为的、裁判宣布竞赛时间到仍强行操作的，取消参赛队奖项评比资格。</w:t>
      </w:r>
    </w:p>
    <w:p w14:paraId="179A3C00">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（4）选手</w:t>
      </w:r>
      <w:r>
        <w:rPr>
          <w:rFonts w:hint="eastAsia"/>
          <w:color w:val="auto"/>
          <w:lang w:val="en-US" w:eastAsia="zh-CN"/>
        </w:rPr>
        <w:t>服装、任务书、报告单等出现</w:t>
      </w:r>
      <w:r>
        <w:rPr>
          <w:rFonts w:hint="eastAsia"/>
          <w:color w:val="auto"/>
          <w:lang w:eastAsia="zh-CN"/>
        </w:rPr>
        <w:t>不应有的标识、符号、文字，扣5分。</w:t>
      </w:r>
    </w:p>
    <w:p w14:paraId="056E819E">
      <w:pPr>
        <w:pStyle w:val="3"/>
        <w:bidi w:val="0"/>
        <w:rPr>
          <w:rFonts w:hint="eastAsia"/>
          <w:color w:val="auto"/>
          <w:lang w:eastAsia="zh-CN"/>
        </w:rPr>
      </w:pPr>
      <w:r>
        <w:rPr>
          <w:rFonts w:hint="eastAsia"/>
          <w:color w:val="auto"/>
          <w:lang w:eastAsia="zh-CN"/>
        </w:rPr>
        <w:t>六、实际操作竞赛场地与设施</w:t>
      </w:r>
    </w:p>
    <w:p w14:paraId="4DAA6B6F">
      <w:pPr>
        <w:pStyle w:val="4"/>
        <w:ind w:firstLine="560"/>
        <w:rPr>
          <w:rFonts w:hint="eastAsia"/>
          <w:b/>
          <w:bCs/>
        </w:rPr>
      </w:pPr>
      <w:r>
        <w:rPr>
          <w:rFonts w:hint="eastAsia"/>
          <w:b/>
          <w:bCs/>
        </w:rPr>
        <w:t>（一）竞赛场地</w:t>
      </w:r>
    </w:p>
    <w:p w14:paraId="34909D19">
      <w:pPr>
        <w:pStyle w:val="2"/>
        <w:ind w:firstLine="560" w:firstLineChars="200"/>
        <w:rPr>
          <w:rFonts w:hint="eastAsia"/>
          <w:lang w:eastAsia="zh-CN"/>
        </w:rPr>
      </w:pPr>
      <w:r>
        <w:rPr>
          <w:rFonts w:hint="eastAsia"/>
          <w:lang w:eastAsia="zh-CN"/>
        </w:rPr>
        <w:t>无人机驾驶员（安防无人机驾驶员）赛项工位分为无人机穿越区域、无人机巡检区域、无人机吊运区域三个部分。</w:t>
      </w:r>
    </w:p>
    <w:p w14:paraId="30B616E3">
      <w:pPr>
        <w:pStyle w:val="2"/>
        <w:ind w:firstLine="560" w:firstLineChars="200"/>
        <w:rPr>
          <w:rFonts w:hint="eastAsia"/>
          <w:lang w:eastAsia="zh-CN"/>
        </w:rPr>
      </w:pPr>
      <w:r>
        <w:rPr>
          <w:rFonts w:hint="eastAsia"/>
          <w:lang w:eastAsia="zh-CN"/>
        </w:rPr>
        <w:t>1.无人机穿越区域在室内竞赛场地进行，赛场中主要包括路线飞行穿障区域。</w:t>
      </w:r>
    </w:p>
    <w:p w14:paraId="4210F5B2">
      <w:pPr>
        <w:pStyle w:val="2"/>
        <w:ind w:firstLine="560" w:firstLineChars="200"/>
        <w:rPr>
          <w:rFonts w:hint="eastAsia"/>
          <w:lang w:eastAsia="zh-CN"/>
        </w:rPr>
      </w:pPr>
      <w:r>
        <w:rPr>
          <w:rFonts w:hint="eastAsia"/>
          <w:lang w:eastAsia="zh-CN"/>
        </w:rPr>
        <w:t>2.无人机巡检区域在室内竞赛场地进行，赛场主要包括路线飞行区域、投放区域。</w:t>
      </w:r>
    </w:p>
    <w:p w14:paraId="6778E34D">
      <w:pPr>
        <w:pStyle w:val="2"/>
        <w:ind w:firstLine="560" w:firstLineChars="200"/>
        <w:rPr>
          <w:lang w:eastAsia="zh-CN"/>
        </w:rPr>
      </w:pPr>
      <w:r>
        <w:rPr>
          <w:rFonts w:hint="eastAsia"/>
          <w:lang w:eastAsia="zh-CN"/>
        </w:rPr>
        <w:t>3.无人机吊运区域在室内竞赛场地进行，赛场主要包括路线飞行区域、图像采集区域。</w:t>
      </w:r>
    </w:p>
    <w:p w14:paraId="59107D19">
      <w:pPr>
        <w:pStyle w:val="4"/>
        <w:ind w:firstLine="560"/>
        <w:rPr>
          <w:rFonts w:hint="eastAsia"/>
          <w:b/>
          <w:bCs/>
        </w:rPr>
      </w:pPr>
      <w:r>
        <w:rPr>
          <w:rFonts w:hint="eastAsia"/>
          <w:b/>
          <w:bCs/>
        </w:rPr>
        <w:t>（二）赛场设施</w:t>
      </w:r>
    </w:p>
    <w:p w14:paraId="689C0777">
      <w:pPr>
        <w:ind w:firstLine="560" w:firstLineChars="200"/>
        <w:rPr>
          <w:lang w:eastAsia="zh-CN"/>
        </w:rPr>
      </w:pPr>
      <w:r>
        <w:rPr>
          <w:rFonts w:hint="eastAsia"/>
          <w:lang w:eastAsia="zh-CN"/>
        </w:rPr>
        <w:t>竞赛赛场提供竞赛桌子、椅子等设施。选手不得携带计算机、移动终端等智能设备进入竞赛区域。</w:t>
      </w:r>
    </w:p>
    <w:p w14:paraId="6F56D22D">
      <w:pPr>
        <w:pStyle w:val="3"/>
        <w:bidi w:val="0"/>
        <w:rPr>
          <w:rFonts w:hint="eastAsia"/>
          <w:color w:val="auto"/>
          <w:lang w:val="en-US" w:eastAsia="zh-CN"/>
        </w:rPr>
      </w:pPr>
      <w:r>
        <w:rPr>
          <w:rFonts w:hint="eastAsia"/>
          <w:color w:val="auto"/>
          <w:lang w:val="en-US" w:eastAsia="zh-CN"/>
        </w:rPr>
        <w:t>七</w:t>
      </w:r>
      <w:r>
        <w:rPr>
          <w:rFonts w:hint="eastAsia"/>
          <w:color w:val="auto"/>
          <w:lang w:eastAsia="zh-CN"/>
        </w:rPr>
        <w:t>、</w:t>
      </w:r>
      <w:r>
        <w:rPr>
          <w:rFonts w:hint="eastAsia"/>
          <w:color w:val="auto"/>
          <w:lang w:val="en-US" w:eastAsia="zh-CN"/>
        </w:rPr>
        <w:t>竞赛流程</w:t>
      </w:r>
    </w:p>
    <w:p w14:paraId="52DA64DE">
      <w:pPr>
        <w:pStyle w:val="4"/>
        <w:bidi w:val="0"/>
        <w:rPr>
          <w:rFonts w:hint="eastAsia"/>
          <w:b/>
          <w:bCs/>
          <w:color w:val="auto"/>
          <w:lang w:val="en-US" w:eastAsia="zh-CN"/>
        </w:rPr>
      </w:pPr>
      <w:r>
        <w:rPr>
          <w:rFonts w:hint="eastAsia"/>
          <w:b/>
          <w:bCs/>
          <w:color w:val="auto"/>
          <w:lang w:val="en-US" w:eastAsia="zh-CN"/>
        </w:rPr>
        <w:t>（一）竞赛时间</w:t>
      </w:r>
    </w:p>
    <w:p w14:paraId="2932D40B">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val="en-US" w:eastAsia="zh-CN"/>
        </w:rPr>
      </w:pPr>
      <w:r>
        <w:rPr>
          <w:rFonts w:hint="eastAsia"/>
          <w:color w:val="auto"/>
          <w:lang w:val="en-US" w:eastAsia="zh-CN"/>
        </w:rPr>
        <w:t>2026年10月23日至25日（周五至周日）。</w:t>
      </w:r>
    </w:p>
    <w:p w14:paraId="1FEEEFF0">
      <w:pPr>
        <w:pStyle w:val="4"/>
        <w:bidi w:val="0"/>
        <w:rPr>
          <w:rFonts w:hint="eastAsia"/>
          <w:b/>
          <w:bCs/>
          <w:color w:val="auto"/>
          <w:lang w:val="en-US" w:eastAsia="zh-CN"/>
        </w:rPr>
      </w:pPr>
      <w:r>
        <w:rPr>
          <w:rFonts w:hint="eastAsia"/>
          <w:b/>
          <w:bCs/>
          <w:color w:val="auto"/>
          <w:lang w:val="en-US" w:eastAsia="zh-CN"/>
        </w:rPr>
        <w:t>（二）竞赛日程安排</w:t>
      </w:r>
    </w:p>
    <w:p w14:paraId="7C1D030B">
      <w:pPr>
        <w:jc w:val="center"/>
        <w:rPr>
          <w:rFonts w:hint="default"/>
          <w:sz w:val="24"/>
          <w:szCs w:val="20"/>
          <w:lang w:val="en-US" w:eastAsia="zh-CN"/>
        </w:rPr>
      </w:pPr>
      <w:r>
        <w:rPr>
          <w:rFonts w:hint="eastAsia"/>
          <w:sz w:val="24"/>
          <w:szCs w:val="20"/>
          <w:lang w:val="en-US" w:eastAsia="zh-CN"/>
        </w:rPr>
        <w:t>表3 竞赛日程安排</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068"/>
        <w:gridCol w:w="1911"/>
        <w:gridCol w:w="5314"/>
      </w:tblGrid>
      <w:tr w14:paraId="2206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blHeader/>
        </w:trPr>
        <w:tc>
          <w:tcPr>
            <w:tcW w:w="0" w:type="auto"/>
            <w:shd w:val="clear" w:color="auto" w:fill="auto"/>
            <w:tcMar>
              <w:top w:w="120" w:type="dxa"/>
              <w:left w:w="120" w:type="dxa"/>
              <w:bottom w:w="120" w:type="dxa"/>
              <w:right w:w="120" w:type="dxa"/>
            </w:tcMar>
            <w:vAlign w:val="center"/>
          </w:tcPr>
          <w:p w14:paraId="65845C75">
            <w:pPr>
              <w:keepNext w:val="0"/>
              <w:keepLines w:val="0"/>
              <w:widowControl/>
              <w:suppressLineNumbers w:val="0"/>
              <w:jc w:val="center"/>
              <w:rPr>
                <w:rFonts w:hint="default" w:ascii="仿宋_GB2312" w:hAnsi="仿宋_GB2312" w:eastAsia="仿宋_GB2312" w:cs="仿宋_GB2312"/>
                <w:b/>
                <w:bCs/>
                <w:snapToGrid w:val="0"/>
                <w:color w:val="000000"/>
                <w:kern w:val="0"/>
                <w:sz w:val="24"/>
                <w:szCs w:val="24"/>
                <w:lang w:val="en-US" w:eastAsia="zh-CN" w:bidi="ar"/>
              </w:rPr>
            </w:pPr>
            <w:r>
              <w:rPr>
                <w:rFonts w:hint="eastAsia" w:ascii="仿宋_GB2312" w:hAnsi="仿宋_GB2312" w:cs="仿宋_GB2312"/>
                <w:b/>
                <w:bCs/>
                <w:snapToGrid w:val="0"/>
                <w:color w:val="000000"/>
                <w:kern w:val="0"/>
                <w:sz w:val="24"/>
                <w:szCs w:val="24"/>
                <w:lang w:val="en-US" w:eastAsia="zh-CN" w:bidi="ar"/>
              </w:rPr>
              <w:t>日程</w:t>
            </w:r>
          </w:p>
        </w:tc>
        <w:tc>
          <w:tcPr>
            <w:tcW w:w="1152" w:type="pct"/>
            <w:shd w:val="clear" w:color="auto" w:fill="auto"/>
            <w:tcMar>
              <w:top w:w="120" w:type="dxa"/>
              <w:left w:w="120" w:type="dxa"/>
              <w:bottom w:w="120" w:type="dxa"/>
              <w:right w:w="120" w:type="dxa"/>
            </w:tcMar>
            <w:vAlign w:val="center"/>
          </w:tcPr>
          <w:p w14:paraId="13E49EEB">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napToGrid w:val="0"/>
                <w:color w:val="000000"/>
                <w:kern w:val="0"/>
                <w:sz w:val="24"/>
                <w:szCs w:val="24"/>
                <w:lang w:val="en-US" w:eastAsia="zh-CN" w:bidi="ar"/>
              </w:rPr>
              <w:t>时间</w:t>
            </w:r>
          </w:p>
        </w:tc>
        <w:tc>
          <w:tcPr>
            <w:tcW w:w="3204" w:type="pct"/>
            <w:shd w:val="clear" w:color="auto" w:fill="auto"/>
            <w:tcMar>
              <w:top w:w="120" w:type="dxa"/>
              <w:left w:w="120" w:type="dxa"/>
              <w:bottom w:w="120" w:type="dxa"/>
              <w:right w:w="120" w:type="dxa"/>
            </w:tcMar>
            <w:vAlign w:val="center"/>
          </w:tcPr>
          <w:p w14:paraId="3CFD3232">
            <w:pPr>
              <w:keepNext w:val="0"/>
              <w:keepLines w:val="0"/>
              <w:widowControl/>
              <w:suppressLineNumbers w:val="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napToGrid w:val="0"/>
                <w:color w:val="000000"/>
                <w:kern w:val="0"/>
                <w:sz w:val="24"/>
                <w:szCs w:val="24"/>
                <w:lang w:val="en-US" w:eastAsia="zh-CN" w:bidi="ar"/>
              </w:rPr>
              <w:t>事项</w:t>
            </w:r>
          </w:p>
        </w:tc>
      </w:tr>
      <w:tr w14:paraId="503D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rPr>
        <w:tc>
          <w:tcPr>
            <w:tcW w:w="0" w:type="auto"/>
            <w:shd w:val="clear" w:color="auto" w:fill="auto"/>
            <w:tcMar>
              <w:top w:w="120" w:type="dxa"/>
              <w:left w:w="120" w:type="dxa"/>
              <w:bottom w:w="120" w:type="dxa"/>
              <w:right w:w="120" w:type="dxa"/>
            </w:tcMar>
            <w:vAlign w:val="center"/>
          </w:tcPr>
          <w:p w14:paraId="09C00E8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default" w:ascii="仿宋_GB2312" w:hAnsi="仿宋_GB2312" w:eastAsia="仿宋_GB2312" w:cs="仿宋_GB2312"/>
                <w:snapToGrid w:val="0"/>
                <w:color w:val="000000"/>
                <w:kern w:val="0"/>
                <w:sz w:val="24"/>
                <w:szCs w:val="24"/>
                <w:lang w:val="en-US" w:eastAsia="zh-CN" w:bidi="ar"/>
              </w:rPr>
            </w:pPr>
            <w:r>
              <w:rPr>
                <w:rFonts w:hint="eastAsia" w:ascii="仿宋_GB2312" w:hAnsi="仿宋_GB2312" w:cs="仿宋_GB2312"/>
                <w:snapToGrid w:val="0"/>
                <w:color w:val="000000"/>
                <w:kern w:val="0"/>
                <w:sz w:val="24"/>
                <w:szCs w:val="24"/>
                <w:lang w:val="en-US" w:eastAsia="zh-CN" w:bidi="ar"/>
              </w:rPr>
              <w:t>第一天</w:t>
            </w:r>
          </w:p>
        </w:tc>
        <w:tc>
          <w:tcPr>
            <w:tcW w:w="1152" w:type="pct"/>
            <w:shd w:val="clear" w:color="auto" w:fill="auto"/>
            <w:tcMar>
              <w:top w:w="120" w:type="dxa"/>
              <w:left w:w="120" w:type="dxa"/>
              <w:bottom w:w="120" w:type="dxa"/>
              <w:right w:w="120" w:type="dxa"/>
            </w:tcMar>
            <w:vAlign w:val="center"/>
          </w:tcPr>
          <w:p w14:paraId="33C6E6A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bidi="ar"/>
              </w:rPr>
              <w:t>12:00-15:00</w:t>
            </w:r>
          </w:p>
        </w:tc>
        <w:tc>
          <w:tcPr>
            <w:tcW w:w="3204" w:type="pct"/>
            <w:shd w:val="clear" w:color="auto" w:fill="auto"/>
            <w:tcMar>
              <w:top w:w="120" w:type="dxa"/>
              <w:left w:w="120" w:type="dxa"/>
              <w:bottom w:w="120" w:type="dxa"/>
              <w:right w:w="120" w:type="dxa"/>
            </w:tcMar>
            <w:vAlign w:val="center"/>
          </w:tcPr>
          <w:p w14:paraId="355F7ED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bidi="ar"/>
              </w:rPr>
              <w:t>各参赛队至安徽国际商务职业学院报到；报到后可在志愿者引导下参观实操竞赛场地</w:t>
            </w:r>
          </w:p>
        </w:tc>
      </w:tr>
      <w:tr w14:paraId="4492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0" w:type="auto"/>
            <w:shd w:val="clear" w:color="auto" w:fill="auto"/>
            <w:tcMar>
              <w:top w:w="120" w:type="dxa"/>
              <w:left w:w="120" w:type="dxa"/>
              <w:bottom w:w="120" w:type="dxa"/>
              <w:right w:w="120" w:type="dxa"/>
            </w:tcMar>
            <w:vAlign w:val="center"/>
          </w:tcPr>
          <w:p w14:paraId="4E5DB25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default" w:ascii="仿宋_GB2312" w:hAnsi="仿宋_GB2312" w:eastAsia="仿宋_GB2312" w:cs="仿宋_GB2312"/>
                <w:snapToGrid w:val="0"/>
                <w:color w:val="000000"/>
                <w:kern w:val="0"/>
                <w:sz w:val="24"/>
                <w:szCs w:val="24"/>
                <w:lang w:val="en-US" w:eastAsia="zh-CN" w:bidi="ar"/>
              </w:rPr>
            </w:pPr>
            <w:r>
              <w:rPr>
                <w:rFonts w:hint="eastAsia" w:ascii="仿宋_GB2312" w:hAnsi="仿宋_GB2312" w:cs="仿宋_GB2312"/>
                <w:snapToGrid w:val="0"/>
                <w:color w:val="000000"/>
                <w:kern w:val="0"/>
                <w:sz w:val="24"/>
                <w:szCs w:val="24"/>
                <w:lang w:val="en-US" w:eastAsia="zh-CN" w:bidi="ar"/>
              </w:rPr>
              <w:t>第一天</w:t>
            </w:r>
          </w:p>
        </w:tc>
        <w:tc>
          <w:tcPr>
            <w:tcW w:w="1152" w:type="pct"/>
            <w:shd w:val="clear" w:color="auto" w:fill="auto"/>
            <w:tcMar>
              <w:top w:w="120" w:type="dxa"/>
              <w:left w:w="120" w:type="dxa"/>
              <w:bottom w:w="120" w:type="dxa"/>
              <w:right w:w="120" w:type="dxa"/>
            </w:tcMar>
            <w:vAlign w:val="center"/>
          </w:tcPr>
          <w:p w14:paraId="4730C14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bidi="ar"/>
              </w:rPr>
              <w:t>15:00-16:00</w:t>
            </w:r>
          </w:p>
        </w:tc>
        <w:tc>
          <w:tcPr>
            <w:tcW w:w="3204" w:type="pct"/>
            <w:shd w:val="clear" w:color="auto" w:fill="auto"/>
            <w:tcMar>
              <w:top w:w="120" w:type="dxa"/>
              <w:left w:w="120" w:type="dxa"/>
              <w:bottom w:w="120" w:type="dxa"/>
              <w:right w:w="120" w:type="dxa"/>
            </w:tcMar>
            <w:vAlign w:val="center"/>
          </w:tcPr>
          <w:p w14:paraId="0CB587D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bidi="ar"/>
              </w:rPr>
              <w:t>召开领队会、组织抽签，确定比赛场次</w:t>
            </w:r>
          </w:p>
        </w:tc>
      </w:tr>
      <w:tr w14:paraId="5AFD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rPr>
        <w:tc>
          <w:tcPr>
            <w:tcW w:w="0" w:type="auto"/>
            <w:shd w:val="clear" w:color="auto" w:fill="auto"/>
            <w:tcMar>
              <w:top w:w="120" w:type="dxa"/>
              <w:left w:w="120" w:type="dxa"/>
              <w:bottom w:w="120" w:type="dxa"/>
              <w:right w:w="120" w:type="dxa"/>
            </w:tcMar>
            <w:vAlign w:val="center"/>
          </w:tcPr>
          <w:p w14:paraId="1A5780D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default" w:ascii="仿宋_GB2312" w:hAnsi="仿宋_GB2312" w:eastAsia="仿宋_GB2312" w:cs="仿宋_GB2312"/>
                <w:snapToGrid w:val="0"/>
                <w:color w:val="000000"/>
                <w:kern w:val="0"/>
                <w:sz w:val="24"/>
                <w:szCs w:val="24"/>
                <w:lang w:val="en-US" w:eastAsia="zh-CN" w:bidi="ar"/>
              </w:rPr>
            </w:pPr>
            <w:r>
              <w:rPr>
                <w:rFonts w:hint="eastAsia" w:ascii="仿宋_GB2312" w:hAnsi="仿宋_GB2312" w:cs="仿宋_GB2312"/>
                <w:snapToGrid w:val="0"/>
                <w:color w:val="000000"/>
                <w:kern w:val="0"/>
                <w:sz w:val="24"/>
                <w:szCs w:val="24"/>
                <w:lang w:val="en-US" w:eastAsia="zh-CN" w:bidi="ar"/>
              </w:rPr>
              <w:t>第一天</w:t>
            </w:r>
          </w:p>
        </w:tc>
        <w:tc>
          <w:tcPr>
            <w:tcW w:w="1152" w:type="pct"/>
            <w:shd w:val="clear" w:color="auto" w:fill="auto"/>
            <w:tcMar>
              <w:top w:w="120" w:type="dxa"/>
              <w:left w:w="120" w:type="dxa"/>
              <w:bottom w:w="120" w:type="dxa"/>
              <w:right w:w="120" w:type="dxa"/>
            </w:tcMar>
            <w:vAlign w:val="center"/>
          </w:tcPr>
          <w:p w14:paraId="7EB5507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bidi="ar"/>
              </w:rPr>
              <w:t>16:00-17:00</w:t>
            </w:r>
          </w:p>
        </w:tc>
        <w:tc>
          <w:tcPr>
            <w:tcW w:w="3204" w:type="pct"/>
            <w:shd w:val="clear" w:color="auto" w:fill="auto"/>
            <w:tcMar>
              <w:top w:w="120" w:type="dxa"/>
              <w:left w:w="120" w:type="dxa"/>
              <w:bottom w:w="120" w:type="dxa"/>
              <w:right w:w="120" w:type="dxa"/>
            </w:tcMar>
            <w:vAlign w:val="center"/>
          </w:tcPr>
          <w:p w14:paraId="1907D7C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bidi="ar"/>
              </w:rPr>
              <w:t>理论考试</w:t>
            </w:r>
          </w:p>
        </w:tc>
      </w:tr>
      <w:tr w14:paraId="3DA1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rPr>
        <w:tc>
          <w:tcPr>
            <w:tcW w:w="0" w:type="auto"/>
            <w:shd w:val="clear" w:color="auto" w:fill="auto"/>
            <w:tcMar>
              <w:top w:w="120" w:type="dxa"/>
              <w:left w:w="120" w:type="dxa"/>
              <w:bottom w:w="120" w:type="dxa"/>
              <w:right w:w="120" w:type="dxa"/>
            </w:tcMar>
            <w:vAlign w:val="center"/>
          </w:tcPr>
          <w:p w14:paraId="74845DA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default" w:ascii="仿宋_GB2312" w:hAnsi="仿宋_GB2312" w:eastAsia="仿宋_GB2312" w:cs="仿宋_GB2312"/>
                <w:snapToGrid w:val="0"/>
                <w:color w:val="000000"/>
                <w:kern w:val="0"/>
                <w:sz w:val="24"/>
                <w:szCs w:val="24"/>
                <w:lang w:val="en-US" w:eastAsia="zh-CN" w:bidi="ar"/>
              </w:rPr>
            </w:pPr>
            <w:r>
              <w:rPr>
                <w:rFonts w:hint="eastAsia" w:ascii="仿宋_GB2312" w:hAnsi="仿宋_GB2312" w:cs="仿宋_GB2312"/>
                <w:snapToGrid w:val="0"/>
                <w:color w:val="000000"/>
                <w:kern w:val="0"/>
                <w:sz w:val="24"/>
                <w:szCs w:val="24"/>
                <w:lang w:val="en-US" w:eastAsia="zh-CN" w:bidi="ar"/>
              </w:rPr>
              <w:t>第二至三天</w:t>
            </w:r>
          </w:p>
        </w:tc>
        <w:tc>
          <w:tcPr>
            <w:tcW w:w="1152" w:type="pct"/>
            <w:shd w:val="clear" w:color="auto" w:fill="auto"/>
            <w:tcMar>
              <w:top w:w="120" w:type="dxa"/>
              <w:left w:w="120" w:type="dxa"/>
              <w:bottom w:w="120" w:type="dxa"/>
              <w:right w:w="120" w:type="dxa"/>
            </w:tcMar>
            <w:vAlign w:val="center"/>
          </w:tcPr>
          <w:p w14:paraId="7E88BAD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cs="仿宋_GB2312"/>
                <w:snapToGrid w:val="0"/>
                <w:color w:val="000000"/>
                <w:kern w:val="0"/>
                <w:sz w:val="24"/>
                <w:szCs w:val="24"/>
                <w:lang w:val="en-US" w:eastAsia="zh-CN" w:bidi="ar"/>
              </w:rPr>
              <w:t>全天</w:t>
            </w:r>
          </w:p>
        </w:tc>
        <w:tc>
          <w:tcPr>
            <w:tcW w:w="3204" w:type="pct"/>
            <w:shd w:val="clear" w:color="auto" w:fill="auto"/>
            <w:tcMar>
              <w:top w:w="120" w:type="dxa"/>
              <w:left w:w="120" w:type="dxa"/>
              <w:bottom w:w="120" w:type="dxa"/>
              <w:right w:w="120" w:type="dxa"/>
            </w:tcMar>
            <w:vAlign w:val="center"/>
          </w:tcPr>
          <w:p w14:paraId="40C3755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bidi="ar"/>
              </w:rPr>
              <w:t>实际操作竞赛</w:t>
            </w:r>
          </w:p>
        </w:tc>
      </w:tr>
    </w:tbl>
    <w:p w14:paraId="72F9AAC4">
      <w:pPr>
        <w:pStyle w:val="2"/>
        <w:keepNext w:val="0"/>
        <w:keepLines w:val="0"/>
        <w:pageBreakBefore w:val="0"/>
        <w:widowControl/>
        <w:kinsoku w:val="0"/>
        <w:wordWrap/>
        <w:overflowPunct/>
        <w:topLinePunct w:val="0"/>
        <w:autoSpaceDE w:val="0"/>
        <w:autoSpaceDN w:val="0"/>
        <w:bidi w:val="0"/>
        <w:adjustRightInd w:val="0"/>
        <w:snapToGrid w:val="0"/>
        <w:ind w:firstLine="480" w:firstLineChars="200"/>
        <w:textAlignment w:val="baseline"/>
        <w:rPr>
          <w:rFonts w:hint="default"/>
          <w:sz w:val="24"/>
          <w:szCs w:val="24"/>
          <w:lang w:val="en-US" w:eastAsia="zh-CN"/>
        </w:rPr>
      </w:pPr>
      <w:r>
        <w:rPr>
          <w:rFonts w:hint="eastAsia"/>
          <w:sz w:val="24"/>
          <w:szCs w:val="24"/>
          <w:lang w:val="en-US" w:eastAsia="zh-CN"/>
        </w:rPr>
        <w:t>注：以上竞赛日程可能会根据报名情况进行微调，以最后发布的竞赛指南为准。</w:t>
      </w:r>
    </w:p>
    <w:p w14:paraId="123BC9B7">
      <w:pPr>
        <w:pStyle w:val="4"/>
        <w:bidi w:val="0"/>
        <w:rPr>
          <w:rFonts w:hint="eastAsia"/>
          <w:b/>
          <w:bCs/>
          <w:color w:val="auto"/>
          <w:lang w:val="en-US" w:eastAsia="zh-CN"/>
        </w:rPr>
      </w:pPr>
      <w:r>
        <w:rPr>
          <w:rFonts w:hint="eastAsia"/>
          <w:b/>
          <w:bCs/>
          <w:color w:val="auto"/>
          <w:lang w:val="en-US" w:eastAsia="zh-CN"/>
        </w:rPr>
        <w:t>（二）竞赛顺序安排</w:t>
      </w:r>
    </w:p>
    <w:p w14:paraId="49256A98">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val="en-US" w:eastAsia="zh-CN"/>
        </w:rPr>
      </w:pPr>
      <w:r>
        <w:rPr>
          <w:rFonts w:hint="eastAsia"/>
          <w:color w:val="auto"/>
          <w:lang w:val="en-US" w:eastAsia="zh-CN"/>
        </w:rPr>
        <w:t>各参赛队竞赛顺序由抽签结果决定，抽签规则如下：</w:t>
      </w:r>
    </w:p>
    <w:p w14:paraId="5A8DD683">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val="en-US" w:eastAsia="zh-CN"/>
        </w:rPr>
      </w:pPr>
      <w:r>
        <w:rPr>
          <w:rFonts w:hint="eastAsia"/>
          <w:color w:val="auto"/>
          <w:lang w:val="en-US" w:eastAsia="zh-CN"/>
        </w:rPr>
        <w:t>1.第1次抽签，在领队会议结束后，以代表队为整体，随机抽取比赛场次（如10月24日上午场、10月24日下午场、10月25日上午场、10月25日下午场等），并登记签字确认。比赛场次根据最后报名参赛队数量调整。</w:t>
      </w:r>
    </w:p>
    <w:p w14:paraId="03C5AC3C">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val="en-US" w:eastAsia="zh-CN"/>
        </w:rPr>
      </w:pPr>
      <w:r>
        <w:rPr>
          <w:rFonts w:hint="eastAsia"/>
          <w:color w:val="auto"/>
          <w:lang w:val="en-US" w:eastAsia="zh-CN"/>
        </w:rPr>
        <w:t>2.第2次抽签，在选手进入备赛区检录后，各参赛选手抽取所在参赛场次的抽签顺序号、签写抽签顺序号确认，加密裁判进行加密封存。</w:t>
      </w:r>
    </w:p>
    <w:p w14:paraId="1F50E16D">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default"/>
          <w:color w:val="auto"/>
          <w:lang w:val="en-US" w:eastAsia="zh-CN"/>
        </w:rPr>
      </w:pPr>
      <w:r>
        <w:rPr>
          <w:rFonts w:hint="eastAsia"/>
          <w:color w:val="auto"/>
          <w:lang w:val="en-US" w:eastAsia="zh-CN"/>
        </w:rPr>
        <w:t>3.第3次抽签，根据抽签顺序号，各参赛选手抽取所在参赛场次的工位号，签写工位号确定，并按照工位号顺序参加所在比赛场次的比赛。</w:t>
      </w:r>
    </w:p>
    <w:p w14:paraId="4494066B">
      <w:pPr>
        <w:pStyle w:val="3"/>
        <w:bidi w:val="0"/>
        <w:rPr>
          <w:rFonts w:hint="eastAsia"/>
          <w:color w:val="auto"/>
          <w:lang w:eastAsia="zh-CN"/>
        </w:rPr>
      </w:pPr>
      <w:r>
        <w:rPr>
          <w:rFonts w:hint="eastAsia"/>
          <w:color w:val="auto"/>
          <w:lang w:val="en-US" w:eastAsia="zh-CN"/>
        </w:rPr>
        <w:t>八、</w:t>
      </w:r>
      <w:r>
        <w:rPr>
          <w:rFonts w:hint="eastAsia"/>
          <w:color w:val="auto"/>
          <w:lang w:eastAsia="zh-CN"/>
        </w:rPr>
        <w:t>竞赛规则</w:t>
      </w:r>
    </w:p>
    <w:p w14:paraId="72148324">
      <w:pPr>
        <w:pStyle w:val="4"/>
        <w:bidi w:val="0"/>
        <w:rPr>
          <w:rFonts w:hint="eastAsia"/>
          <w:b/>
          <w:bCs/>
          <w:color w:val="auto"/>
          <w:lang w:eastAsia="zh-CN"/>
        </w:rPr>
      </w:pPr>
      <w:r>
        <w:rPr>
          <w:rFonts w:hint="eastAsia"/>
          <w:b/>
          <w:bCs/>
          <w:color w:val="auto"/>
          <w:lang w:eastAsia="zh-CN"/>
        </w:rPr>
        <w:t>（一）工作人员组织分工</w:t>
      </w:r>
    </w:p>
    <w:p w14:paraId="1827FD75">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在</w:t>
      </w:r>
      <w:r>
        <w:rPr>
          <w:rFonts w:hint="eastAsia"/>
          <w:color w:val="auto"/>
          <w:lang w:val="en-US" w:eastAsia="zh-CN"/>
        </w:rPr>
        <w:t>大赛组</w:t>
      </w:r>
      <w:r>
        <w:rPr>
          <w:rFonts w:hint="eastAsia"/>
          <w:color w:val="auto"/>
          <w:lang w:eastAsia="zh-CN"/>
        </w:rPr>
        <w:t>委会的领导下成立由检录组、裁判组、监督仲裁组组成的成绩管理组织机构。具体要求与分工如下：</w:t>
      </w:r>
    </w:p>
    <w:p w14:paraId="2F5524FD">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1.检录工作人员负责对参赛队伍（选手）进行点名登记、身份核对等工作。检录工作由赛项承办院校工作人员承担。</w:t>
      </w:r>
    </w:p>
    <w:p w14:paraId="54648A0A">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2.裁判组实行“裁判长负责制”，设裁判长1名，全面负责赛项的裁判管理工作并处理比赛中出现的争议问题。</w:t>
      </w:r>
    </w:p>
    <w:p w14:paraId="3B3937FB">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3.裁判员根据比赛需要分为加密裁判、现场裁判和评分裁判。</w:t>
      </w:r>
    </w:p>
    <w:p w14:paraId="4B41308F">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w:t>
      </w:r>
      <w:r>
        <w:rPr>
          <w:rFonts w:hint="eastAsia"/>
          <w:color w:val="auto"/>
          <w:lang w:val="en-US" w:eastAsia="zh-CN"/>
        </w:rPr>
        <w:t>1</w:t>
      </w:r>
      <w:r>
        <w:rPr>
          <w:rFonts w:hint="eastAsia"/>
          <w:color w:val="auto"/>
          <w:lang w:eastAsia="zh-CN"/>
        </w:rPr>
        <w:t>）加密裁判：负责组织参赛队伍（选手）抽签，对参赛队信息、抽签代码等进行加密。各赛项加密裁判由</w:t>
      </w:r>
      <w:r>
        <w:rPr>
          <w:rFonts w:hint="eastAsia"/>
          <w:color w:val="auto"/>
          <w:lang w:val="en-US" w:eastAsia="zh-CN"/>
        </w:rPr>
        <w:t>组</w:t>
      </w:r>
      <w:r>
        <w:rPr>
          <w:rFonts w:hint="eastAsia"/>
          <w:color w:val="auto"/>
          <w:lang w:eastAsia="zh-CN"/>
        </w:rPr>
        <w:t>委会根据赛项要求确定。加密裁判不得参与评分工作。</w:t>
      </w:r>
    </w:p>
    <w:p w14:paraId="1150FACD">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w:t>
      </w:r>
      <w:r>
        <w:rPr>
          <w:rFonts w:hint="eastAsia"/>
          <w:color w:val="auto"/>
          <w:lang w:val="en-US" w:eastAsia="zh-CN"/>
        </w:rPr>
        <w:t>2</w:t>
      </w:r>
      <w:r>
        <w:rPr>
          <w:rFonts w:hint="eastAsia"/>
          <w:color w:val="auto"/>
          <w:lang w:eastAsia="zh-CN"/>
        </w:rPr>
        <w:t>）现场裁判：按规定做好赛场记录，维护赛场纪律。</w:t>
      </w:r>
    </w:p>
    <w:p w14:paraId="6D70A79B">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w:t>
      </w:r>
      <w:r>
        <w:rPr>
          <w:rFonts w:hint="eastAsia"/>
          <w:color w:val="auto"/>
          <w:lang w:val="en-US" w:eastAsia="zh-CN"/>
        </w:rPr>
        <w:t>3</w:t>
      </w:r>
      <w:r>
        <w:rPr>
          <w:rFonts w:hint="eastAsia"/>
          <w:color w:val="auto"/>
          <w:lang w:eastAsia="zh-CN"/>
        </w:rPr>
        <w:t>）评分裁判：负责对参赛队伍（选手）的比赛任务完成、比赛表现按赛项评分标准进行评定，并负责核分和统分工作。</w:t>
      </w:r>
    </w:p>
    <w:p w14:paraId="1EEFEF71">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4.监督仲裁组对裁判组的工作进行全程监督，并对竞赛成绩抽检复核。</w:t>
      </w:r>
    </w:p>
    <w:p w14:paraId="2487421D">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5.监督仲裁组负责接受由参赛队领队提出的对裁判结果的申诉，组织复议并及时反馈复议结果。</w:t>
      </w:r>
    </w:p>
    <w:p w14:paraId="35ED747C">
      <w:pPr>
        <w:pStyle w:val="4"/>
        <w:bidi w:val="0"/>
        <w:rPr>
          <w:rFonts w:hint="eastAsia"/>
          <w:b/>
          <w:bCs/>
          <w:color w:val="auto"/>
          <w:lang w:eastAsia="zh-CN"/>
        </w:rPr>
      </w:pPr>
      <w:r>
        <w:rPr>
          <w:rFonts w:hint="eastAsia"/>
          <w:b/>
          <w:bCs/>
          <w:color w:val="auto"/>
          <w:lang w:eastAsia="zh-CN"/>
        </w:rPr>
        <w:t>（</w:t>
      </w:r>
      <w:r>
        <w:rPr>
          <w:rFonts w:hint="eastAsia"/>
          <w:b/>
          <w:bCs/>
          <w:color w:val="auto"/>
          <w:lang w:val="en-US" w:eastAsia="zh-CN"/>
        </w:rPr>
        <w:t>二</w:t>
      </w:r>
      <w:r>
        <w:rPr>
          <w:rFonts w:hint="eastAsia"/>
          <w:b/>
          <w:bCs/>
          <w:color w:val="auto"/>
          <w:lang w:eastAsia="zh-CN"/>
        </w:rPr>
        <w:t>）入场规则</w:t>
      </w:r>
    </w:p>
    <w:p w14:paraId="27E16CFC">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1.各参赛队按照本队比赛时段，</w:t>
      </w:r>
      <w:r>
        <w:rPr>
          <w:rFonts w:hint="eastAsia"/>
          <w:color w:val="auto"/>
          <w:lang w:val="en-US" w:eastAsia="zh-CN"/>
        </w:rPr>
        <w:t>按照竞赛指南时间点要求</w:t>
      </w:r>
      <w:r>
        <w:rPr>
          <w:rFonts w:hint="eastAsia"/>
          <w:color w:val="auto"/>
          <w:lang w:eastAsia="zh-CN"/>
        </w:rPr>
        <w:t>准时到达赛场集合地点，凭参赛证、身份证经检录后进入</w:t>
      </w:r>
      <w:r>
        <w:rPr>
          <w:rFonts w:hint="eastAsia"/>
          <w:color w:val="auto"/>
          <w:lang w:val="en-US" w:eastAsia="zh-CN"/>
        </w:rPr>
        <w:t>备赛室</w:t>
      </w:r>
      <w:r>
        <w:rPr>
          <w:rFonts w:hint="eastAsia"/>
          <w:color w:val="auto"/>
          <w:lang w:eastAsia="zh-CN"/>
        </w:rPr>
        <w:t>。</w:t>
      </w:r>
    </w:p>
    <w:p w14:paraId="70C4D451">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2.现场裁判员将对各参赛选手的身份进行核对，迟到选手不得入场。</w:t>
      </w:r>
    </w:p>
    <w:p w14:paraId="2F4113F7">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3.除严格规定的物品外，参赛选手不允许携带任何通讯及存储设备、纸质材料等物品进入赛场，赛场内提供比赛必备用品，赛场不提供网络环境。</w:t>
      </w:r>
    </w:p>
    <w:p w14:paraId="546CDE14">
      <w:pPr>
        <w:pStyle w:val="4"/>
        <w:bidi w:val="0"/>
        <w:rPr>
          <w:rFonts w:hint="eastAsia"/>
          <w:b/>
          <w:bCs/>
          <w:color w:val="auto"/>
          <w:lang w:eastAsia="zh-CN"/>
        </w:rPr>
      </w:pPr>
      <w:r>
        <w:rPr>
          <w:rFonts w:hint="eastAsia"/>
          <w:b/>
          <w:bCs/>
          <w:color w:val="auto"/>
          <w:lang w:eastAsia="zh-CN"/>
        </w:rPr>
        <w:t>（</w:t>
      </w:r>
      <w:r>
        <w:rPr>
          <w:rFonts w:hint="eastAsia"/>
          <w:b/>
          <w:bCs/>
          <w:color w:val="auto"/>
          <w:lang w:val="en-US" w:eastAsia="zh-CN"/>
        </w:rPr>
        <w:t>三</w:t>
      </w:r>
      <w:r>
        <w:rPr>
          <w:rFonts w:hint="eastAsia"/>
          <w:b/>
          <w:bCs/>
          <w:color w:val="auto"/>
          <w:lang w:eastAsia="zh-CN"/>
        </w:rPr>
        <w:t>）赛场规则</w:t>
      </w:r>
    </w:p>
    <w:p w14:paraId="2B011709">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1.每轮比赛统一听从裁判发布竞赛开始指令后正式开始竞赛，参赛选手合理计划安排，利用现场提供的所有条件完成竞赛任务。</w:t>
      </w:r>
    </w:p>
    <w:p w14:paraId="518983D2">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2.参赛选手在比赛期间实行封闭管理。</w:t>
      </w:r>
    </w:p>
    <w:p w14:paraId="05C193B0">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竞赛过程中，参赛选手须严格遵守安全操作规程，并接受裁判的监督和警示，以确保安全。参赛选手因个人误操作造成人身安全事故和设备故障时，裁判长有权中止该参赛选手竞赛；如非参赛选手个人因素出现设备故障而无法竞赛，由裁判长视具体情况做出裁决；如裁判长确定设备故障可由技术支持人员排除故障后继续竞赛，将给参赛选手补足所耽误的竞赛时间。</w:t>
      </w:r>
    </w:p>
    <w:p w14:paraId="668715AD">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4.参赛选手若提前结束竞赛，应举手向裁判示意，竞赛结束时间由现场裁判记录，参赛选手结束竞赛后不得再进行任何操作。</w:t>
      </w:r>
    </w:p>
    <w:p w14:paraId="14669161">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5.裁判在竞赛阶段进行剩余时间提醒、发布竞赛结束指令。竞赛结束时所有未完成任务参赛选手立即停止操作。</w:t>
      </w:r>
    </w:p>
    <w:p w14:paraId="4B65AC32">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6.参赛选手提交的选手报告单等竞赛成果，需要现场裁判与参赛选手签工位号确认。</w:t>
      </w:r>
    </w:p>
    <w:p w14:paraId="56631AF0">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7.其它未涉及事项或突发事件，由组委会负责解释或决定。</w:t>
      </w:r>
    </w:p>
    <w:p w14:paraId="29BFB0B8">
      <w:pPr>
        <w:pStyle w:val="4"/>
        <w:bidi w:val="0"/>
        <w:rPr>
          <w:rFonts w:hint="eastAsia"/>
          <w:b/>
          <w:bCs/>
          <w:color w:val="auto"/>
          <w:lang w:eastAsia="zh-CN"/>
        </w:rPr>
      </w:pPr>
      <w:r>
        <w:rPr>
          <w:rFonts w:hint="eastAsia"/>
          <w:b/>
          <w:bCs/>
          <w:color w:val="auto"/>
          <w:lang w:eastAsia="zh-CN"/>
        </w:rPr>
        <w:t>（</w:t>
      </w:r>
      <w:r>
        <w:rPr>
          <w:rFonts w:hint="eastAsia"/>
          <w:b/>
          <w:bCs/>
          <w:color w:val="auto"/>
          <w:lang w:val="en-US" w:eastAsia="zh-CN"/>
        </w:rPr>
        <w:t>四</w:t>
      </w:r>
      <w:r>
        <w:rPr>
          <w:rFonts w:hint="eastAsia"/>
          <w:b/>
          <w:bCs/>
          <w:color w:val="auto"/>
          <w:lang w:eastAsia="zh-CN"/>
        </w:rPr>
        <w:t>）离场规则</w:t>
      </w:r>
    </w:p>
    <w:p w14:paraId="2B62FF7A">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1.比赛结束</w:t>
      </w:r>
      <w:r>
        <w:rPr>
          <w:rFonts w:hint="eastAsia"/>
          <w:color w:val="auto"/>
          <w:lang w:val="en-US" w:eastAsia="zh-CN"/>
        </w:rPr>
        <w:t>后</w:t>
      </w:r>
      <w:r>
        <w:rPr>
          <w:rFonts w:hint="eastAsia"/>
          <w:color w:val="auto"/>
          <w:lang w:eastAsia="zh-CN"/>
        </w:rPr>
        <w:t>才允许离场。</w:t>
      </w:r>
    </w:p>
    <w:p w14:paraId="0FD1C6D9">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2.比赛正式结束，参赛</w:t>
      </w:r>
      <w:r>
        <w:rPr>
          <w:rFonts w:hint="eastAsia"/>
          <w:color w:val="auto"/>
          <w:lang w:val="en-US" w:eastAsia="zh-CN"/>
        </w:rPr>
        <w:t>选手</w:t>
      </w:r>
      <w:r>
        <w:rPr>
          <w:rFonts w:hint="eastAsia"/>
          <w:color w:val="auto"/>
          <w:lang w:eastAsia="zh-CN"/>
        </w:rPr>
        <w:t>按要求清理赛位。</w:t>
      </w:r>
    </w:p>
    <w:p w14:paraId="3377CD8A">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3.参赛选手不得将赛项任务书和工具等与比赛有关的物品带离赛场，经工作人员现场清点检查竞赛设备和工具后，参赛</w:t>
      </w:r>
      <w:r>
        <w:rPr>
          <w:rFonts w:hint="eastAsia"/>
          <w:color w:val="auto"/>
          <w:lang w:val="en-US" w:eastAsia="zh-CN"/>
        </w:rPr>
        <w:t>选手</w:t>
      </w:r>
      <w:r>
        <w:rPr>
          <w:rFonts w:hint="eastAsia"/>
          <w:color w:val="auto"/>
          <w:lang w:eastAsia="zh-CN"/>
        </w:rPr>
        <w:t>方可离开赛位。</w:t>
      </w:r>
    </w:p>
    <w:p w14:paraId="02D1B8C1">
      <w:pPr>
        <w:pStyle w:val="4"/>
        <w:bidi w:val="0"/>
        <w:rPr>
          <w:rFonts w:hint="eastAsia"/>
          <w:b/>
          <w:bCs/>
          <w:color w:val="auto"/>
          <w:lang w:eastAsia="zh-CN"/>
        </w:rPr>
      </w:pPr>
      <w:r>
        <w:rPr>
          <w:rFonts w:hint="eastAsia"/>
          <w:b/>
          <w:bCs/>
          <w:color w:val="auto"/>
          <w:lang w:eastAsia="zh-CN"/>
        </w:rPr>
        <w:t>（</w:t>
      </w:r>
      <w:r>
        <w:rPr>
          <w:rFonts w:hint="eastAsia"/>
          <w:b/>
          <w:bCs/>
          <w:color w:val="auto"/>
          <w:lang w:val="en-US" w:eastAsia="zh-CN"/>
        </w:rPr>
        <w:t>五</w:t>
      </w:r>
      <w:r>
        <w:rPr>
          <w:rFonts w:hint="eastAsia"/>
          <w:b/>
          <w:bCs/>
          <w:color w:val="auto"/>
          <w:lang w:eastAsia="zh-CN"/>
        </w:rPr>
        <w:t>）成绩评定与结果公布</w:t>
      </w:r>
    </w:p>
    <w:p w14:paraId="46E2C32C">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1.比赛结束后由裁判组对各参赛队的竞赛任务逐项评分并进行成绩录入，经裁判长核准后上交</w:t>
      </w:r>
      <w:r>
        <w:rPr>
          <w:rFonts w:hint="eastAsia"/>
          <w:color w:val="auto"/>
          <w:lang w:val="en-US" w:eastAsia="zh-CN"/>
        </w:rPr>
        <w:t>组</w:t>
      </w:r>
      <w:r>
        <w:rPr>
          <w:rFonts w:hint="eastAsia"/>
          <w:color w:val="auto"/>
          <w:lang w:eastAsia="zh-CN"/>
        </w:rPr>
        <w:t>委会，具体评分详见成绩评定。</w:t>
      </w:r>
    </w:p>
    <w:p w14:paraId="2006C211">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2.所有有关专家和裁判将签订保密协议，严守保密纪律，不得私自透露赛题非公开部分的内容和比赛结果。</w:t>
      </w:r>
    </w:p>
    <w:p w14:paraId="341533B3">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3.记分员将解密后的各参赛队伍（选手）成绩汇总成比赛成绩，经裁判长、监督仲裁组长签字后，公布比赛结果。</w:t>
      </w:r>
    </w:p>
    <w:p w14:paraId="7C9E5E2C">
      <w:pPr>
        <w:pStyle w:val="3"/>
        <w:bidi w:val="0"/>
        <w:rPr>
          <w:rFonts w:hint="eastAsia"/>
          <w:color w:val="auto"/>
          <w:lang w:eastAsia="zh-CN"/>
        </w:rPr>
      </w:pPr>
      <w:r>
        <w:rPr>
          <w:rFonts w:hint="eastAsia"/>
          <w:color w:val="auto"/>
          <w:lang w:val="en-US" w:eastAsia="zh-CN"/>
        </w:rPr>
        <w:t>八</w:t>
      </w:r>
      <w:r>
        <w:rPr>
          <w:rFonts w:hint="eastAsia"/>
          <w:color w:val="auto"/>
          <w:lang w:eastAsia="zh-CN"/>
        </w:rPr>
        <w:t>、竞赛安全</w:t>
      </w:r>
    </w:p>
    <w:p w14:paraId="628FAD40">
      <w:pPr>
        <w:pStyle w:val="4"/>
        <w:pageBreakBefore w:val="0"/>
        <w:wordWrap/>
        <w:overflowPunct/>
        <w:topLinePunct w:val="0"/>
        <w:bidi w:val="0"/>
        <w:rPr>
          <w:rFonts w:hint="eastAsia"/>
          <w:b/>
          <w:bCs/>
          <w:color w:val="auto"/>
          <w:lang w:eastAsia="zh-CN"/>
        </w:rPr>
      </w:pPr>
      <w:r>
        <w:rPr>
          <w:rFonts w:hint="eastAsia"/>
          <w:b/>
          <w:bCs/>
          <w:color w:val="auto"/>
          <w:lang w:eastAsia="zh-CN"/>
        </w:rPr>
        <w:t>(一)赛场安全</w:t>
      </w:r>
    </w:p>
    <w:p w14:paraId="3CF6666A">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1.赛场所有人员(赛场管理与组织人员、裁判员、参赛人员以及观摩人员)不得在竞赛现场内外吸烟，不听劝阻者给予通报批评或清退比赛现场，造成严重后果的将依规处理。</w:t>
      </w:r>
    </w:p>
    <w:p w14:paraId="53C3B524">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2.未经允许不得使用和移动竞赛场内的任何设施设备(包括消防器材等)，工具使用后放回原处。</w:t>
      </w:r>
    </w:p>
    <w:p w14:paraId="16090E9B">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3.选手在竞赛中必须遵守赛场的各项规章制度和操作规程，安全、合理地使用各种设施设备和工具，出现严重违章操作设备的，裁判报请裁判长视情节严重程度或终止其比赛。</w:t>
      </w:r>
    </w:p>
    <w:p w14:paraId="748212B1">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4.选手参加实际操作竞赛前，应认真学习竞赛项目安全操作规程。竞赛中如发现问题应及时解决，无法解决的问题应及时向裁判员报告，裁判员视情况报请裁判长裁定。</w:t>
      </w:r>
    </w:p>
    <w:p w14:paraId="3D140DF5">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5.参赛选手不得触动非竞赛用仪器设备，对竞赛仪器设备造成损坏，由当事人承担赔偿责任，并通报批评；参赛选手若出现恶意破坏仪器设备等情节严重者将依规处理。</w:t>
      </w:r>
    </w:p>
    <w:p w14:paraId="45683B02">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6.赛前选手要认真阅读</w:t>
      </w:r>
      <w:r>
        <w:rPr>
          <w:rFonts w:hint="eastAsia"/>
          <w:color w:val="auto"/>
          <w:lang w:val="en-US" w:eastAsia="zh-CN"/>
        </w:rPr>
        <w:t>技术文件</w:t>
      </w:r>
      <w:r>
        <w:rPr>
          <w:rFonts w:hint="eastAsia"/>
          <w:color w:val="auto"/>
          <w:lang w:eastAsia="zh-CN"/>
        </w:rPr>
        <w:t>和竞赛</w:t>
      </w:r>
      <w:r>
        <w:rPr>
          <w:rFonts w:hint="eastAsia"/>
          <w:color w:val="auto"/>
          <w:lang w:val="en-US" w:eastAsia="zh-CN"/>
        </w:rPr>
        <w:t>指南</w:t>
      </w:r>
      <w:r>
        <w:rPr>
          <w:rFonts w:hint="eastAsia"/>
          <w:color w:val="auto"/>
          <w:lang w:eastAsia="zh-CN"/>
        </w:rPr>
        <w:t>。</w:t>
      </w:r>
    </w:p>
    <w:p w14:paraId="4AAC8EBF">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7.各类人员须严格遵守赛场规则，</w:t>
      </w:r>
      <w:r>
        <w:rPr>
          <w:rFonts w:hint="eastAsia"/>
          <w:color w:val="auto"/>
          <w:lang w:val="en-US" w:eastAsia="zh-CN"/>
        </w:rPr>
        <w:t>不得</w:t>
      </w:r>
      <w:r>
        <w:rPr>
          <w:rFonts w:hint="eastAsia"/>
          <w:color w:val="auto"/>
          <w:lang w:eastAsia="zh-CN"/>
        </w:rPr>
        <w:t>携带比赛</w:t>
      </w:r>
      <w:r>
        <w:rPr>
          <w:rFonts w:hint="eastAsia"/>
          <w:color w:val="auto"/>
          <w:lang w:val="en-US" w:eastAsia="zh-CN"/>
        </w:rPr>
        <w:t>所需设备以外的其它</w:t>
      </w:r>
      <w:r>
        <w:rPr>
          <w:rFonts w:hint="eastAsia"/>
          <w:color w:val="auto"/>
          <w:lang w:eastAsia="zh-CN"/>
        </w:rPr>
        <w:t>物品入内。</w:t>
      </w:r>
    </w:p>
    <w:p w14:paraId="58ED191D">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8.严禁携带易燃易爆等危险品入内。</w:t>
      </w:r>
    </w:p>
    <w:p w14:paraId="1AE964AC">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9.赛场必须留有安全通道，必须配备消防安全设备，赛场应具备良好的通风、照明和操作空间的条件，做好竞赛安全、健康和公共卫生及突发事件预防与应急处理等工作。</w:t>
      </w:r>
    </w:p>
    <w:p w14:paraId="06C7ECFC">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10.安保人员发现安全隐患及时通报赛场负责人员。</w:t>
      </w:r>
    </w:p>
    <w:p w14:paraId="3EDB3280">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11.如遇严重突发事件，在统一指挥下，迅速按紧急疏散路线撤离现场。</w:t>
      </w:r>
    </w:p>
    <w:p w14:paraId="7A2D1FC1">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12.赛场须配备医护人员和</w:t>
      </w:r>
      <w:r>
        <w:rPr>
          <w:rFonts w:hint="eastAsia"/>
          <w:color w:val="auto"/>
          <w:lang w:val="en-US" w:eastAsia="zh-CN"/>
        </w:rPr>
        <w:t>必需的</w:t>
      </w:r>
      <w:r>
        <w:rPr>
          <w:rFonts w:hint="eastAsia"/>
          <w:color w:val="auto"/>
          <w:lang w:eastAsia="zh-CN"/>
        </w:rPr>
        <w:t>药品。</w:t>
      </w:r>
    </w:p>
    <w:p w14:paraId="3028255A">
      <w:pPr>
        <w:pStyle w:val="4"/>
        <w:pageBreakBefore w:val="0"/>
        <w:wordWrap/>
        <w:overflowPunct/>
        <w:topLinePunct w:val="0"/>
        <w:bidi w:val="0"/>
        <w:rPr>
          <w:rFonts w:hint="eastAsia"/>
          <w:b/>
          <w:bCs/>
          <w:color w:val="auto"/>
          <w:lang w:eastAsia="zh-CN"/>
        </w:rPr>
      </w:pPr>
      <w:r>
        <w:rPr>
          <w:rFonts w:hint="eastAsia"/>
          <w:b/>
          <w:bCs/>
          <w:color w:val="auto"/>
          <w:lang w:eastAsia="zh-CN"/>
        </w:rPr>
        <w:t>(二)安全操作规程</w:t>
      </w:r>
    </w:p>
    <w:p w14:paraId="68303CC1">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1.使用无人机前，保证电池电量充满，禁止低电量飞行。</w:t>
      </w:r>
    </w:p>
    <w:p w14:paraId="1D9798FF">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2.竞赛过程中，选手需要全程保持竞赛区域的环境整洁有序，防止绊倒，摔倒。</w:t>
      </w:r>
    </w:p>
    <w:p w14:paraId="5BD54328">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3.选手必须爱护竞赛设备和设施，不得使用不合理的方式对设备和设施进行操作，不得使用错误的或者不合理的工具对设备设施进行操作。</w:t>
      </w:r>
    </w:p>
    <w:p w14:paraId="1F7E2B2D">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4.对设备进行测试时，选手不得采用人为强制手段对设备和器件操作。</w:t>
      </w:r>
    </w:p>
    <w:p w14:paraId="464B286D">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5.在低处操作时，必须采用单腿跪姿进行操作，禁止采用蹲姿，坐姿进行操作。</w:t>
      </w:r>
    </w:p>
    <w:p w14:paraId="4C5AB796">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6.竞赛结束前5分钟，参赛队检查和完善竞赛任务，整理工具和清洁场地。竞赛结束后，参赛选手应立即停止所有操作，不得以任何理由拖延时间。</w:t>
      </w:r>
    </w:p>
    <w:p w14:paraId="4F41D51A">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7.赛场内禁止携带和存放易燃、易爆、挥发性物质和材料。</w:t>
      </w:r>
    </w:p>
    <w:p w14:paraId="4519FB9B">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default"/>
          <w:lang w:val="en-US" w:eastAsia="zh-CN"/>
        </w:rPr>
      </w:pPr>
      <w:r>
        <w:rPr>
          <w:rFonts w:hint="eastAsia"/>
          <w:color w:val="auto"/>
          <w:lang w:val="en-US" w:eastAsia="zh-CN"/>
        </w:rPr>
        <w:t>8.参赛选手不得在实际操作比赛场地以外的校园内任何场所起飞无人机。</w:t>
      </w:r>
    </w:p>
    <w:p w14:paraId="1B6C4E29">
      <w:pPr>
        <w:keepNext w:val="0"/>
        <w:keepLines w:val="0"/>
        <w:pageBreakBefore w:val="0"/>
        <w:widowControl/>
        <w:kinsoku w:val="0"/>
        <w:wordWrap/>
        <w:overflowPunct/>
        <w:topLinePunct w:val="0"/>
        <w:autoSpaceDE w:val="0"/>
        <w:autoSpaceDN w:val="0"/>
        <w:bidi w:val="0"/>
        <w:adjustRightInd w:val="0"/>
        <w:snapToGrid w:val="0"/>
        <w:ind w:firstLine="562" w:firstLineChars="200"/>
        <w:textAlignment w:val="baseline"/>
        <w:rPr>
          <w:rFonts w:hint="eastAsia" w:ascii="楷体" w:hAnsi="楷体" w:eastAsia="楷体" w:cs="楷体"/>
          <w:b/>
          <w:bCs/>
          <w:color w:val="auto"/>
          <w:lang w:val="en-US" w:eastAsia="zh-CN"/>
        </w:rPr>
      </w:pPr>
      <w:r>
        <w:rPr>
          <w:rFonts w:hint="eastAsia" w:ascii="楷体" w:hAnsi="楷体" w:eastAsia="楷体" w:cs="楷体"/>
          <w:b/>
          <w:bCs/>
          <w:color w:val="auto"/>
          <w:lang w:eastAsia="zh-CN"/>
        </w:rPr>
        <w:t>（</w:t>
      </w:r>
      <w:r>
        <w:rPr>
          <w:rFonts w:hint="eastAsia" w:ascii="楷体" w:hAnsi="楷体" w:eastAsia="楷体" w:cs="楷体"/>
          <w:b/>
          <w:bCs/>
          <w:color w:val="auto"/>
          <w:lang w:val="en-US" w:eastAsia="zh-CN"/>
        </w:rPr>
        <w:t>三</w:t>
      </w:r>
      <w:r>
        <w:rPr>
          <w:rFonts w:hint="eastAsia" w:ascii="楷体" w:hAnsi="楷体" w:eastAsia="楷体" w:cs="楷体"/>
          <w:b/>
          <w:bCs/>
          <w:color w:val="auto"/>
          <w:lang w:eastAsia="zh-CN"/>
        </w:rPr>
        <w:t>）</w:t>
      </w:r>
      <w:r>
        <w:rPr>
          <w:rFonts w:hint="eastAsia" w:ascii="楷体" w:hAnsi="楷体" w:eastAsia="楷体" w:cs="楷体"/>
          <w:b/>
          <w:bCs/>
          <w:color w:val="auto"/>
          <w:lang w:val="en-US" w:eastAsia="zh-CN"/>
        </w:rPr>
        <w:t>应急预案</w:t>
      </w:r>
    </w:p>
    <w:p w14:paraId="1CF68F5C">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1.赛场配备技术人员，当车辆、设备等出现问题时，技术人员可第一时间提供专业技术支持。</w:t>
      </w:r>
    </w:p>
    <w:p w14:paraId="2784ABC9">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2.竞赛现场配置安全通道，当出现火情或其他灾害情况，工作人员应立即向保卫组汇报，保卫组接报后要火速到达现场并配合消防和公安，指挥人员疏散到安全区域并及时处置现场状况。</w:t>
      </w:r>
    </w:p>
    <w:p w14:paraId="08DE3BE6">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3.竞赛过程中出现设备断电、故障等意外时，现场裁判需及时确认情况，安排技术支持人员进行处理，现场裁判登记详细情况，填写补时登记表，报裁判长批准后，可安排延长补足相应选手的比赛时间。</w:t>
      </w:r>
    </w:p>
    <w:p w14:paraId="23FEDE5D">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4</w:t>
      </w:r>
      <w:r>
        <w:rPr>
          <w:rFonts w:hint="eastAsia"/>
          <w:color w:val="auto"/>
          <w:lang w:eastAsia="zh-CN"/>
        </w:rPr>
        <w:t>.赛场设有应急医疗点，用于参赛选手突发身体不适或出现碰伤、划伤等意外情况的应急处理；如应急医疗点诊断参赛选手可以继续比赛的，经裁判长确认予以安排原工位或备用工位进行比赛。如参赛选手不能继续参加比赛的，必要时可联系120急救车。</w:t>
      </w:r>
    </w:p>
    <w:p w14:paraId="41BF5CAC">
      <w:pPr>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color w:val="auto"/>
          <w:lang w:eastAsia="zh-CN"/>
        </w:rPr>
      </w:pPr>
      <w:r>
        <w:rPr>
          <w:rFonts w:hint="eastAsia"/>
          <w:color w:val="auto"/>
          <w:lang w:val="en-US" w:eastAsia="zh-CN"/>
        </w:rPr>
        <w:t>5</w:t>
      </w:r>
      <w:r>
        <w:rPr>
          <w:rFonts w:hint="eastAsia"/>
          <w:color w:val="auto"/>
          <w:lang w:eastAsia="zh-CN"/>
        </w:rPr>
        <w:t>.比赛期间发生意外事故，发现者应第一时间报告</w:t>
      </w:r>
      <w:r>
        <w:rPr>
          <w:rFonts w:hint="eastAsia"/>
          <w:color w:val="auto"/>
          <w:lang w:val="en-US" w:eastAsia="zh-CN"/>
        </w:rPr>
        <w:t>大赛组</w:t>
      </w:r>
      <w:r>
        <w:rPr>
          <w:rFonts w:hint="eastAsia"/>
          <w:color w:val="auto"/>
          <w:lang w:eastAsia="zh-CN"/>
        </w:rPr>
        <w:t>委会，同时采取措施避免事态扩大。赛项出现重大安全问题可以停赛，是否停赛由</w:t>
      </w:r>
      <w:r>
        <w:rPr>
          <w:rFonts w:hint="eastAsia"/>
          <w:color w:val="auto"/>
          <w:lang w:val="en-US" w:eastAsia="zh-CN"/>
        </w:rPr>
        <w:t>大赛组</w:t>
      </w:r>
      <w:r>
        <w:rPr>
          <w:rFonts w:hint="eastAsia"/>
          <w:color w:val="auto"/>
          <w:lang w:eastAsia="zh-CN"/>
        </w:rPr>
        <w:t>委会决定。</w:t>
      </w:r>
    </w:p>
    <w:p w14:paraId="2837EDD6">
      <w:pPr>
        <w:pStyle w:val="3"/>
        <w:bidi w:val="0"/>
        <w:rPr>
          <w:rFonts w:hint="default"/>
          <w:color w:val="auto"/>
          <w:lang w:val="en-US" w:eastAsia="zh-CN"/>
        </w:rPr>
      </w:pPr>
      <w:r>
        <w:rPr>
          <w:rFonts w:hint="eastAsia"/>
          <w:color w:val="auto"/>
          <w:lang w:val="en-US" w:eastAsia="zh-CN"/>
        </w:rPr>
        <w:t>九、竞赛须知</w:t>
      </w:r>
    </w:p>
    <w:p w14:paraId="2DE521F2">
      <w:pPr>
        <w:pStyle w:val="4"/>
        <w:bidi w:val="0"/>
        <w:rPr>
          <w:rFonts w:hint="eastAsia"/>
          <w:b/>
          <w:bCs/>
          <w:color w:val="auto"/>
          <w:lang w:eastAsia="zh-CN"/>
        </w:rPr>
      </w:pPr>
      <w:r>
        <w:rPr>
          <w:rFonts w:hint="eastAsia"/>
          <w:b/>
          <w:bCs/>
          <w:color w:val="auto"/>
          <w:lang w:eastAsia="zh-CN"/>
        </w:rPr>
        <w:t>（一）参赛队须知</w:t>
      </w:r>
    </w:p>
    <w:p w14:paraId="67BDC6CC">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1.各参赛队须为参赛选手购买大赛期间的人身意外伤害保险。</w:t>
      </w:r>
    </w:p>
    <w:p w14:paraId="40720D08">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2.各参赛队须对参赛选手、指导教师、领队进行安全管理教育，在比赛期间需保持通信畅通。</w:t>
      </w:r>
    </w:p>
    <w:p w14:paraId="312DF0FA">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3.对申诉的仲裁结果，领队和指导教师应带头服从和执行，还应说服参赛选手服从和执行。</w:t>
      </w:r>
    </w:p>
    <w:p w14:paraId="4C56406A">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4.领队负责做好本参赛队比赛期间的管理与组织工作。</w:t>
      </w:r>
    </w:p>
    <w:p w14:paraId="2A9E9B0D">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5.执行大赛各项规定。参赛队领队、指导教师在比赛前和比赛期间不允许私自接触裁判，不得以任何形式影响裁判人员的评判。</w:t>
      </w:r>
    </w:p>
    <w:p w14:paraId="13212100">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6.指定一名领队或指导教师准时参加赛前领队会议，进行抽签确定竞赛当日</w:t>
      </w:r>
      <w:r>
        <w:rPr>
          <w:rFonts w:hint="eastAsia"/>
          <w:color w:val="auto"/>
          <w:lang w:val="en-US" w:eastAsia="zh-CN"/>
        </w:rPr>
        <w:t>竞赛场次</w:t>
      </w:r>
      <w:r>
        <w:rPr>
          <w:rFonts w:hint="eastAsia"/>
          <w:color w:val="auto"/>
          <w:lang w:eastAsia="zh-CN"/>
        </w:rPr>
        <w:t>，并认真传达落实会议精神。</w:t>
      </w:r>
    </w:p>
    <w:p w14:paraId="43AC72DA">
      <w:pPr>
        <w:pStyle w:val="2"/>
        <w:keepNext w:val="0"/>
        <w:keepLines w:val="0"/>
        <w:pageBreakBefore w:val="0"/>
        <w:widowControl/>
        <w:kinsoku w:val="0"/>
        <w:wordWrap/>
        <w:overflowPunct/>
        <w:topLinePunct w:val="0"/>
        <w:autoSpaceDE w:val="0"/>
        <w:autoSpaceDN w:val="0"/>
        <w:bidi w:val="0"/>
        <w:adjustRightInd w:val="0"/>
        <w:snapToGrid w:val="0"/>
        <w:ind w:firstLine="562" w:firstLineChars="200"/>
        <w:textAlignment w:val="baseline"/>
        <w:rPr>
          <w:rFonts w:hint="eastAsia" w:ascii="楷体" w:hAnsi="楷体" w:eastAsia="楷体" w:cs="楷体"/>
          <w:b/>
          <w:bCs/>
          <w:color w:val="auto"/>
          <w:lang w:eastAsia="zh-CN"/>
        </w:rPr>
      </w:pPr>
      <w:r>
        <w:rPr>
          <w:rFonts w:hint="eastAsia" w:ascii="楷体" w:hAnsi="楷体" w:eastAsia="楷体" w:cs="楷体"/>
          <w:b/>
          <w:bCs/>
          <w:color w:val="auto"/>
          <w:lang w:eastAsia="zh-CN"/>
        </w:rPr>
        <w:t>（二）指导教师须知</w:t>
      </w:r>
    </w:p>
    <w:p w14:paraId="51C8C6FB">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1</w:t>
      </w:r>
      <w:r>
        <w:rPr>
          <w:rFonts w:hint="eastAsia"/>
          <w:color w:val="auto"/>
          <w:lang w:eastAsia="zh-CN"/>
        </w:rPr>
        <w:t>.各代表队指导教师要坚决执行比赛的各项规定，指导选手做好赛前的一切准备工作，不得以任何理由影响比赛正常进行。</w:t>
      </w:r>
    </w:p>
    <w:p w14:paraId="719C5472">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2</w:t>
      </w:r>
      <w:r>
        <w:rPr>
          <w:rFonts w:hint="eastAsia"/>
          <w:color w:val="auto"/>
          <w:lang w:eastAsia="zh-CN"/>
        </w:rPr>
        <w:t>.对申诉的仲裁结果，指导教师应带头服从和执行，还应说服选手服从和执行。</w:t>
      </w:r>
    </w:p>
    <w:p w14:paraId="65F94AA3">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3</w:t>
      </w:r>
      <w:r>
        <w:rPr>
          <w:rFonts w:hint="eastAsia"/>
          <w:color w:val="auto"/>
          <w:lang w:eastAsia="zh-CN"/>
        </w:rPr>
        <w:t>.指导教师应认真研究和掌握本赛项比赛的技术规则和赛场要求，对参赛选手做好安全和纪律教育。</w:t>
      </w:r>
    </w:p>
    <w:p w14:paraId="1233EA80">
      <w:pPr>
        <w:pStyle w:val="2"/>
        <w:keepNext w:val="0"/>
        <w:keepLines w:val="0"/>
        <w:pageBreakBefore w:val="0"/>
        <w:widowControl/>
        <w:kinsoku w:val="0"/>
        <w:wordWrap/>
        <w:overflowPunct/>
        <w:topLinePunct w:val="0"/>
        <w:autoSpaceDE w:val="0"/>
        <w:autoSpaceDN w:val="0"/>
        <w:bidi w:val="0"/>
        <w:adjustRightInd w:val="0"/>
        <w:snapToGrid w:val="0"/>
        <w:ind w:firstLine="562" w:firstLineChars="200"/>
        <w:textAlignment w:val="baseline"/>
        <w:rPr>
          <w:rFonts w:hint="eastAsia" w:ascii="楷体" w:hAnsi="楷体" w:eastAsia="楷体" w:cs="楷体"/>
          <w:b/>
          <w:bCs/>
          <w:color w:val="auto"/>
          <w:lang w:eastAsia="zh-CN"/>
        </w:rPr>
      </w:pPr>
      <w:r>
        <w:rPr>
          <w:rFonts w:hint="eastAsia" w:ascii="楷体" w:hAnsi="楷体" w:eastAsia="楷体" w:cs="楷体"/>
          <w:b/>
          <w:bCs/>
          <w:color w:val="auto"/>
          <w:lang w:eastAsia="zh-CN"/>
        </w:rPr>
        <w:t>（三）参赛选手须知</w:t>
      </w:r>
    </w:p>
    <w:p w14:paraId="5F6642DB">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w:t>
      </w:r>
      <w:r>
        <w:rPr>
          <w:rFonts w:hint="eastAsia"/>
          <w:color w:val="auto"/>
          <w:lang w:val="en-US" w:eastAsia="zh-CN"/>
        </w:rPr>
        <w:t>.参赛选手</w:t>
      </w:r>
      <w:r>
        <w:rPr>
          <w:rFonts w:hint="eastAsia"/>
          <w:color w:val="auto"/>
          <w:lang w:eastAsia="zh-CN"/>
        </w:rPr>
        <w:t>经报名、审核后确定，一经确定不得更换。如需更换，须由各代表队于相应赛项开赛10个工作日之前，出具书面说明并按相关规定补充人员并接受审核。</w:t>
      </w:r>
    </w:p>
    <w:p w14:paraId="16B145AF">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2.</w:t>
      </w:r>
      <w:r>
        <w:rPr>
          <w:rFonts w:hint="eastAsia"/>
          <w:color w:val="auto"/>
          <w:lang w:eastAsia="zh-CN"/>
        </w:rPr>
        <w:t>参赛选手应严格遵守竞赛规则和竞赛纪律，服从裁判员和竞赛工作人员的统一指挥安排，自觉维护赛场秩序，不得因申诉或对处理意见不服而停止竞赛，否则以弃权处理。</w:t>
      </w:r>
    </w:p>
    <w:p w14:paraId="27CC8B58">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3</w:t>
      </w:r>
      <w:r>
        <w:rPr>
          <w:rFonts w:hint="eastAsia"/>
          <w:color w:val="auto"/>
          <w:lang w:eastAsia="zh-CN"/>
        </w:rPr>
        <w:t>.参赛选手须文明竞赛，接受裁判的监督和警示。</w:t>
      </w:r>
    </w:p>
    <w:p w14:paraId="5EFB60AD">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4</w:t>
      </w:r>
      <w:r>
        <w:rPr>
          <w:rFonts w:hint="eastAsia"/>
          <w:color w:val="auto"/>
          <w:lang w:eastAsia="zh-CN"/>
        </w:rPr>
        <w:t>.参赛选手必须持本人身份证、并佩戴组委会签发的参赛证件；在赛前60分钟到达赛场进行检录、抽取赛位号，进行赛前准备，等候比赛开始指令。正式竞赛开始尚未检录的选手，不得参加竞赛。已检录入场的参赛选手未经允许，不得擅自离开。</w:t>
      </w:r>
    </w:p>
    <w:p w14:paraId="16469D08">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5</w:t>
      </w:r>
      <w:r>
        <w:rPr>
          <w:rFonts w:hint="eastAsia"/>
          <w:color w:val="auto"/>
          <w:lang w:eastAsia="zh-CN"/>
        </w:rPr>
        <w:t>.选手进入赛场不得携带任何纸质资料、通讯工具、电子书、存储设备、照相及录像设备等。</w:t>
      </w:r>
    </w:p>
    <w:p w14:paraId="1541E8B1">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6</w:t>
      </w:r>
      <w:r>
        <w:rPr>
          <w:rFonts w:hint="eastAsia"/>
          <w:color w:val="auto"/>
          <w:lang w:eastAsia="zh-CN"/>
        </w:rPr>
        <w:t>.选手在收到开赛信号前不得启动操作；若结束比赛，应向裁判举手示意，由裁判记录比赛结束时间；比赛结束后，不得再进行任何与比赛有关的操作。</w:t>
      </w:r>
    </w:p>
    <w:p w14:paraId="22600D7D">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7</w:t>
      </w:r>
      <w:r>
        <w:rPr>
          <w:rFonts w:hint="eastAsia"/>
          <w:color w:val="auto"/>
          <w:lang w:eastAsia="zh-CN"/>
        </w:rPr>
        <w:t>.在比赛中如遇非人为因素造成的器材故障，应及时向裁判反映，经裁判确认后，可向裁判长申请补足排除故障的时间。</w:t>
      </w:r>
    </w:p>
    <w:p w14:paraId="65715CF2">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val="en-US" w:eastAsia="zh-CN"/>
        </w:rPr>
        <w:t>8</w:t>
      </w:r>
      <w:r>
        <w:rPr>
          <w:rFonts w:hint="eastAsia"/>
          <w:color w:val="auto"/>
          <w:lang w:eastAsia="zh-CN"/>
        </w:rPr>
        <w:t>.比赛结束后，</w:t>
      </w:r>
      <w:r>
        <w:rPr>
          <w:rFonts w:hint="eastAsia"/>
          <w:color w:val="auto"/>
          <w:lang w:val="en-US" w:eastAsia="zh-CN"/>
        </w:rPr>
        <w:t>不得将任务书等任何物料带出赛场</w:t>
      </w:r>
      <w:r>
        <w:rPr>
          <w:rFonts w:hint="eastAsia"/>
          <w:color w:val="auto"/>
          <w:lang w:eastAsia="zh-CN"/>
        </w:rPr>
        <w:t>。</w:t>
      </w:r>
    </w:p>
    <w:p w14:paraId="207B24C6">
      <w:pPr>
        <w:pStyle w:val="2"/>
        <w:keepNext w:val="0"/>
        <w:keepLines w:val="0"/>
        <w:pageBreakBefore w:val="0"/>
        <w:widowControl/>
        <w:kinsoku w:val="0"/>
        <w:wordWrap/>
        <w:overflowPunct/>
        <w:topLinePunct w:val="0"/>
        <w:autoSpaceDE w:val="0"/>
        <w:autoSpaceDN w:val="0"/>
        <w:bidi w:val="0"/>
        <w:adjustRightInd w:val="0"/>
        <w:snapToGrid w:val="0"/>
        <w:ind w:firstLine="562" w:firstLineChars="200"/>
        <w:textAlignment w:val="baseline"/>
        <w:rPr>
          <w:rFonts w:hint="eastAsia" w:ascii="楷体" w:hAnsi="楷体" w:eastAsia="楷体" w:cs="楷体"/>
          <w:b/>
          <w:bCs/>
          <w:color w:val="auto"/>
          <w:lang w:eastAsia="zh-CN"/>
        </w:rPr>
      </w:pPr>
      <w:bookmarkStart w:id="2" w:name="_GoBack"/>
      <w:r>
        <w:rPr>
          <w:rFonts w:hint="eastAsia" w:ascii="楷体" w:hAnsi="楷体" w:eastAsia="楷体" w:cs="楷体"/>
          <w:b/>
          <w:bCs/>
          <w:color w:val="auto"/>
          <w:lang w:eastAsia="zh-CN"/>
        </w:rPr>
        <w:t>（四）工作人员须知</w:t>
      </w:r>
    </w:p>
    <w:bookmarkEnd w:id="2"/>
    <w:p w14:paraId="4A362647">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1.工作人员必须服从统一领导，严格遵守竞赛纪律及时间安排，严守工作岗位，不得无故离岗。</w:t>
      </w:r>
    </w:p>
    <w:p w14:paraId="2FE499D7">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2.工作人员必须着装整齐，统一佩戴由大赛组委会签发的相应证件，精神饱满、热情服务。</w:t>
      </w:r>
    </w:p>
    <w:p w14:paraId="6805DA6A">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3.熟悉赛项指南，严格按照工作程序和有关规定办事，遇突发事件，按照安全工作预案，组织指挥人员疏散，确保人员安全。</w:t>
      </w:r>
    </w:p>
    <w:p w14:paraId="675356F6">
      <w:pPr>
        <w:pStyle w:val="2"/>
        <w:keepNext w:val="0"/>
        <w:keepLines w:val="0"/>
        <w:pageBreakBefore w:val="0"/>
        <w:widowControl/>
        <w:kinsoku w:val="0"/>
        <w:wordWrap/>
        <w:overflowPunct/>
        <w:topLinePunct w:val="0"/>
        <w:autoSpaceDE w:val="0"/>
        <w:autoSpaceDN w:val="0"/>
        <w:bidi w:val="0"/>
        <w:adjustRightInd w:val="0"/>
        <w:snapToGrid w:val="0"/>
        <w:ind w:firstLine="560" w:firstLineChars="200"/>
        <w:textAlignment w:val="baseline"/>
        <w:rPr>
          <w:rFonts w:hint="eastAsia"/>
          <w:color w:val="auto"/>
          <w:lang w:eastAsia="zh-CN"/>
        </w:rPr>
      </w:pPr>
      <w:r>
        <w:rPr>
          <w:rFonts w:hint="eastAsia"/>
          <w:color w:val="auto"/>
          <w:lang w:eastAsia="zh-CN"/>
        </w:rPr>
        <w:t>4.工作人员未经允许不得随意</w:t>
      </w:r>
      <w:r>
        <w:rPr>
          <w:rFonts w:hint="eastAsia"/>
          <w:color w:val="auto"/>
          <w:lang w:val="en-US" w:eastAsia="zh-CN"/>
        </w:rPr>
        <w:t>进</w:t>
      </w:r>
      <w:r>
        <w:rPr>
          <w:rFonts w:hint="eastAsia"/>
          <w:color w:val="auto"/>
          <w:lang w:eastAsia="zh-CN"/>
        </w:rPr>
        <w:t>入比赛现场。</w:t>
      </w:r>
    </w:p>
    <w:p w14:paraId="2B2AF132">
      <w:pPr>
        <w:pStyle w:val="3"/>
        <w:bidi w:val="0"/>
        <w:rPr>
          <w:rFonts w:hint="eastAsia"/>
          <w:color w:val="auto"/>
          <w:lang w:eastAsia="zh-CN"/>
        </w:rPr>
      </w:pPr>
      <w:r>
        <w:rPr>
          <w:rFonts w:hint="eastAsia"/>
          <w:color w:val="auto"/>
          <w:lang w:val="en-US" w:eastAsia="zh-CN"/>
        </w:rPr>
        <w:t>十</w:t>
      </w:r>
      <w:r>
        <w:rPr>
          <w:rFonts w:hint="eastAsia"/>
          <w:color w:val="auto"/>
          <w:lang w:eastAsia="zh-CN"/>
        </w:rPr>
        <w:t>、</w:t>
      </w:r>
      <w:r>
        <w:rPr>
          <w:rFonts w:hint="eastAsia"/>
          <w:color w:val="auto"/>
          <w:lang w:val="en-US" w:eastAsia="zh-CN"/>
        </w:rPr>
        <w:t>申诉与仲裁</w:t>
      </w:r>
    </w:p>
    <w:p w14:paraId="407ECFD9">
      <w:pPr>
        <w:pageBreakBefore w:val="0"/>
        <w:wordWrap/>
        <w:overflowPunct/>
        <w:topLinePunct w:val="0"/>
        <w:bidi w:val="0"/>
        <w:spacing w:line="360" w:lineRule="auto"/>
        <w:ind w:firstLine="560" w:firstLineChars="200"/>
        <w:rPr>
          <w:rFonts w:hint="eastAsia" w:ascii="仿宋_GB2312" w:hAnsi="仿宋_GB2312" w:eastAsia="仿宋_GB2312" w:cs="仿宋_GB2312"/>
          <w:b w:val="0"/>
          <w:bCs/>
          <w:color w:val="auto"/>
          <w:sz w:val="28"/>
          <w:szCs w:val="28"/>
          <w:lang w:eastAsia="zh-CN"/>
        </w:rPr>
      </w:pPr>
      <w:r>
        <w:rPr>
          <w:rFonts w:hint="eastAsia" w:ascii="仿宋_GB2312" w:hAnsi="仿宋_GB2312" w:cs="仿宋_GB2312"/>
          <w:b w:val="0"/>
          <w:bCs/>
          <w:color w:val="auto"/>
          <w:sz w:val="28"/>
          <w:szCs w:val="28"/>
          <w:lang w:eastAsia="zh-CN"/>
        </w:rPr>
        <w:t>（</w:t>
      </w:r>
      <w:r>
        <w:rPr>
          <w:rFonts w:hint="eastAsia" w:ascii="仿宋_GB2312" w:hAnsi="仿宋_GB2312" w:cs="仿宋_GB2312"/>
          <w:b w:val="0"/>
          <w:bCs/>
          <w:color w:val="auto"/>
          <w:sz w:val="28"/>
          <w:szCs w:val="28"/>
          <w:lang w:val="en-US" w:eastAsia="zh-CN"/>
        </w:rPr>
        <w:t>一</w:t>
      </w:r>
      <w:r>
        <w:rPr>
          <w:rFonts w:hint="eastAsia" w:ascii="仿宋_GB2312" w:hAnsi="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lang w:eastAsia="zh-CN"/>
        </w:rPr>
        <w:t>本赛项在比赛过程中若出现有失公正或有关人员违规等现象，参赛队领队可在比赛结束后2小时之内提出书面申诉</w:t>
      </w:r>
      <w:r>
        <w:rPr>
          <w:rFonts w:hint="eastAsia" w:ascii="仿宋_GB2312" w:hAnsi="仿宋_GB2312" w:cs="仿宋_GB2312"/>
          <w:b w:val="0"/>
          <w:bCs/>
          <w:color w:val="auto"/>
          <w:sz w:val="28"/>
          <w:szCs w:val="28"/>
          <w:lang w:eastAsia="zh-CN"/>
        </w:rPr>
        <w:t>。</w:t>
      </w:r>
    </w:p>
    <w:p w14:paraId="0CCC513E">
      <w:pPr>
        <w:pageBreakBefore w:val="0"/>
        <w:wordWrap/>
        <w:overflowPunct/>
        <w:topLinePunct w:val="0"/>
        <w:bidi w:val="0"/>
        <w:spacing w:line="360" w:lineRule="auto"/>
        <w:ind w:firstLine="560" w:firstLineChars="200"/>
        <w:rPr>
          <w:rFonts w:hint="eastAsia" w:ascii="仿宋_GB2312" w:hAnsi="仿宋_GB2312" w:eastAsia="仿宋_GB2312" w:cs="仿宋_GB2312"/>
          <w:b w:val="0"/>
          <w:bCs/>
          <w:color w:val="auto"/>
          <w:sz w:val="28"/>
          <w:szCs w:val="28"/>
          <w:lang w:eastAsia="zh-CN"/>
        </w:rPr>
      </w:pPr>
      <w:r>
        <w:rPr>
          <w:rFonts w:hint="eastAsia" w:ascii="仿宋_GB2312" w:hAnsi="仿宋_GB2312" w:cs="仿宋_GB2312"/>
          <w:b w:val="0"/>
          <w:bCs/>
          <w:color w:val="auto"/>
          <w:sz w:val="28"/>
          <w:szCs w:val="28"/>
          <w:lang w:eastAsia="zh-CN"/>
        </w:rPr>
        <w:t>（</w:t>
      </w:r>
      <w:r>
        <w:rPr>
          <w:rFonts w:hint="eastAsia" w:ascii="仿宋_GB2312" w:hAnsi="仿宋_GB2312" w:cs="仿宋_GB2312"/>
          <w:b w:val="0"/>
          <w:bCs/>
          <w:color w:val="auto"/>
          <w:sz w:val="28"/>
          <w:szCs w:val="28"/>
          <w:lang w:val="en-US" w:eastAsia="zh-CN"/>
        </w:rPr>
        <w:t>二</w:t>
      </w:r>
      <w:r>
        <w:rPr>
          <w:rFonts w:hint="eastAsia" w:ascii="仿宋_GB2312" w:hAnsi="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lang w:eastAsia="zh-CN"/>
        </w:rPr>
        <w:t>书面申诉应对申诉事件的现象、发生时间、涉及人员、申诉依据等进行充分、实事求是</w:t>
      </w:r>
      <w:r>
        <w:rPr>
          <w:rFonts w:hint="eastAsia" w:ascii="仿宋_GB2312" w:hAnsi="仿宋_GB2312" w:cs="仿宋_GB2312"/>
          <w:b w:val="0"/>
          <w:bCs/>
          <w:color w:val="auto"/>
          <w:sz w:val="28"/>
          <w:szCs w:val="28"/>
          <w:lang w:val="en-US" w:eastAsia="zh-CN"/>
        </w:rPr>
        <w:t>地</w:t>
      </w:r>
      <w:r>
        <w:rPr>
          <w:rFonts w:hint="eastAsia" w:ascii="仿宋_GB2312" w:hAnsi="仿宋_GB2312" w:eastAsia="仿宋_GB2312" w:cs="仿宋_GB2312"/>
          <w:b w:val="0"/>
          <w:bCs/>
          <w:color w:val="auto"/>
          <w:sz w:val="28"/>
          <w:szCs w:val="28"/>
          <w:lang w:eastAsia="zh-CN"/>
        </w:rPr>
        <w:t>叙述，并由领队亲笔签名。非书面申诉不予受理。</w:t>
      </w:r>
    </w:p>
    <w:p w14:paraId="31DA3CBC">
      <w:pPr>
        <w:pageBreakBefore w:val="0"/>
        <w:wordWrap/>
        <w:overflowPunct/>
        <w:topLinePunct w:val="0"/>
        <w:bidi w:val="0"/>
        <w:spacing w:line="360" w:lineRule="auto"/>
        <w:ind w:firstLine="560" w:firstLineChars="200"/>
        <w:rPr>
          <w:rFonts w:hint="eastAsia" w:ascii="仿宋_GB2312" w:hAnsi="仿宋_GB2312" w:eastAsia="仿宋_GB2312" w:cs="仿宋_GB2312"/>
          <w:b w:val="0"/>
          <w:bCs/>
          <w:color w:val="auto"/>
          <w:sz w:val="28"/>
          <w:szCs w:val="28"/>
          <w:lang w:eastAsia="zh-CN"/>
        </w:rPr>
      </w:pPr>
      <w:r>
        <w:rPr>
          <w:rFonts w:hint="eastAsia" w:ascii="仿宋_GB2312" w:hAnsi="仿宋_GB2312" w:cs="仿宋_GB2312"/>
          <w:b w:val="0"/>
          <w:bCs/>
          <w:color w:val="auto"/>
          <w:sz w:val="28"/>
          <w:szCs w:val="28"/>
          <w:lang w:eastAsia="zh-CN"/>
        </w:rPr>
        <w:t>（</w:t>
      </w:r>
      <w:r>
        <w:rPr>
          <w:rFonts w:hint="eastAsia" w:ascii="仿宋_GB2312" w:hAnsi="仿宋_GB2312" w:cs="仿宋_GB2312"/>
          <w:b w:val="0"/>
          <w:bCs/>
          <w:color w:val="auto"/>
          <w:sz w:val="28"/>
          <w:szCs w:val="28"/>
          <w:lang w:val="en-US" w:eastAsia="zh-CN"/>
        </w:rPr>
        <w:t>三</w:t>
      </w:r>
      <w:r>
        <w:rPr>
          <w:rFonts w:hint="eastAsia" w:ascii="仿宋_GB2312" w:hAnsi="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lang w:eastAsia="zh-CN"/>
        </w:rPr>
        <w:t>赛项监督仲裁组在接到申诉报告后的2小时内组织复议，并及时将复议结果以书面形式告知申诉方。</w:t>
      </w:r>
    </w:p>
    <w:p w14:paraId="3B25B920">
      <w:pPr>
        <w:pageBreakBefore w:val="0"/>
        <w:wordWrap/>
        <w:overflowPunct/>
        <w:topLinePunct w:val="0"/>
        <w:bidi w:val="0"/>
        <w:spacing w:line="360" w:lineRule="auto"/>
        <w:ind w:firstLine="560" w:firstLineChars="200"/>
        <w:rPr>
          <w:rFonts w:hint="eastAsia" w:ascii="仿宋_GB2312" w:hAnsi="仿宋_GB2312" w:eastAsia="仿宋_GB2312" w:cs="仿宋_GB2312"/>
          <w:b w:val="0"/>
          <w:bCs/>
          <w:color w:val="auto"/>
          <w:sz w:val="28"/>
          <w:szCs w:val="28"/>
          <w:lang w:eastAsia="zh-CN"/>
        </w:rPr>
      </w:pPr>
      <w:r>
        <w:rPr>
          <w:rFonts w:hint="eastAsia" w:ascii="仿宋_GB2312" w:hAnsi="仿宋_GB2312" w:cs="仿宋_GB2312"/>
          <w:b w:val="0"/>
          <w:bCs/>
          <w:color w:val="auto"/>
          <w:sz w:val="28"/>
          <w:szCs w:val="28"/>
          <w:lang w:eastAsia="zh-CN"/>
        </w:rPr>
        <w:t>（</w:t>
      </w:r>
      <w:r>
        <w:rPr>
          <w:rFonts w:hint="eastAsia" w:ascii="仿宋_GB2312" w:hAnsi="仿宋_GB2312" w:cs="仿宋_GB2312"/>
          <w:b w:val="0"/>
          <w:bCs/>
          <w:color w:val="auto"/>
          <w:sz w:val="28"/>
          <w:szCs w:val="28"/>
          <w:lang w:val="en-US" w:eastAsia="zh-CN"/>
        </w:rPr>
        <w:t>四</w:t>
      </w:r>
      <w:r>
        <w:rPr>
          <w:rFonts w:hint="eastAsia" w:ascii="仿宋_GB2312" w:hAnsi="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lang w:eastAsia="zh-CN"/>
        </w:rPr>
        <w:t>仲裁结果由申诉人签收，不能代收，如在约定时间和地点申诉人离开，视为自行放弃申诉。</w:t>
      </w:r>
    </w:p>
    <w:p w14:paraId="5A31FC7A">
      <w:pPr>
        <w:pageBreakBefore w:val="0"/>
        <w:wordWrap/>
        <w:overflowPunct/>
        <w:topLinePunct w:val="0"/>
        <w:bidi w:val="0"/>
        <w:spacing w:line="360" w:lineRule="auto"/>
        <w:ind w:firstLine="560" w:firstLineChars="200"/>
        <w:rPr>
          <w:rFonts w:hint="eastAsia" w:ascii="仿宋_GB2312" w:hAnsi="仿宋_GB2312" w:eastAsia="仿宋_GB2312" w:cs="仿宋_GB2312"/>
          <w:b w:val="0"/>
          <w:bCs/>
          <w:color w:val="auto"/>
          <w:sz w:val="28"/>
          <w:szCs w:val="28"/>
          <w:lang w:eastAsia="zh-CN"/>
        </w:rPr>
        <w:sectPr>
          <w:footerReference r:id="rId6" w:type="default"/>
          <w:pgSz w:w="11906" w:h="16839"/>
          <w:pgMar w:top="1440" w:right="1800" w:bottom="1440" w:left="1800" w:header="0" w:footer="794" w:gutter="0"/>
          <w:pgNumType w:fmt="decimal" w:start="1"/>
          <w:cols w:space="720" w:num="1"/>
          <w:docGrid w:linePitch="286" w:charSpace="0"/>
        </w:sectPr>
      </w:pPr>
      <w:r>
        <w:rPr>
          <w:rFonts w:hint="eastAsia" w:ascii="仿宋_GB2312" w:hAnsi="仿宋_GB2312" w:cs="仿宋_GB2312"/>
          <w:b w:val="0"/>
          <w:bCs/>
          <w:color w:val="auto"/>
          <w:sz w:val="28"/>
          <w:szCs w:val="28"/>
          <w:lang w:eastAsia="zh-CN"/>
        </w:rPr>
        <w:t>（</w:t>
      </w:r>
      <w:r>
        <w:rPr>
          <w:rFonts w:hint="eastAsia" w:ascii="仿宋_GB2312" w:hAnsi="仿宋_GB2312" w:cs="仿宋_GB2312"/>
          <w:b w:val="0"/>
          <w:bCs/>
          <w:color w:val="auto"/>
          <w:sz w:val="28"/>
          <w:szCs w:val="28"/>
          <w:lang w:val="en-US" w:eastAsia="zh-CN"/>
        </w:rPr>
        <w:t>五</w:t>
      </w:r>
      <w:r>
        <w:rPr>
          <w:rFonts w:hint="eastAsia" w:ascii="仿宋_GB2312" w:hAnsi="仿宋_GB2312" w:cs="仿宋_GB2312"/>
          <w:b w:val="0"/>
          <w:bCs/>
          <w:color w:val="auto"/>
          <w:sz w:val="28"/>
          <w:szCs w:val="28"/>
          <w:lang w:eastAsia="zh-CN"/>
        </w:rPr>
        <w:t>）</w:t>
      </w:r>
      <w:r>
        <w:rPr>
          <w:rFonts w:hint="eastAsia" w:ascii="仿宋_GB2312" w:hAnsi="仿宋_GB2312" w:eastAsia="仿宋_GB2312" w:cs="仿宋_GB2312"/>
          <w:b w:val="0"/>
          <w:bCs/>
          <w:color w:val="auto"/>
          <w:sz w:val="28"/>
          <w:szCs w:val="28"/>
          <w:lang w:eastAsia="zh-CN"/>
        </w:rPr>
        <w:t>申诉方可随时提出放弃申诉。不得以任何理由采取过激行为扰乱赛场秩序。</w:t>
      </w:r>
    </w:p>
    <w:p w14:paraId="34385384">
      <w:pPr>
        <w:pStyle w:val="2"/>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黑体" w:hAnsi="黑体" w:eastAsia="黑体" w:cs="黑体"/>
          <w:lang w:val="en-US" w:eastAsia="zh-CN"/>
        </w:rPr>
      </w:pPr>
      <w:r>
        <w:rPr>
          <w:rFonts w:hint="eastAsia" w:ascii="黑体" w:hAnsi="黑体" w:eastAsia="黑体" w:cs="黑体"/>
          <w:lang w:val="en-US" w:eastAsia="zh-CN"/>
        </w:rPr>
        <w:t>附件：</w:t>
      </w:r>
    </w:p>
    <w:p w14:paraId="5C41500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snapToGrid/>
          <w:sz w:val="44"/>
          <w:szCs w:val="44"/>
          <w:lang w:eastAsia="zh-CN"/>
        </w:rPr>
      </w:pPr>
      <w:r>
        <w:rPr>
          <w:rFonts w:hint="eastAsia" w:ascii="黑体" w:hAnsi="黑体" w:eastAsia="黑体" w:cs="黑体"/>
          <w:snapToGrid/>
          <w:sz w:val="44"/>
          <w:szCs w:val="44"/>
          <w:lang w:eastAsia="zh-CN"/>
        </w:rPr>
        <w:t>参赛选手设备配置登记表</w:t>
      </w:r>
    </w:p>
    <w:p w14:paraId="1F371CC5">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sz w:val="24"/>
          <w:szCs w:val="24"/>
          <w:lang w:val="en-US" w:eastAsia="zh-CN"/>
        </w:rPr>
      </w:pPr>
      <w:r>
        <w:rPr>
          <w:rFonts w:hint="eastAsia" w:ascii="黑体" w:hAnsi="黑体" w:eastAsia="黑体" w:cs="黑体"/>
          <w:snapToGrid/>
          <w:sz w:val="24"/>
          <w:szCs w:val="24"/>
          <w:lang w:val="en-US" w:eastAsia="zh-CN"/>
        </w:rPr>
        <w:t>参赛单位：（盖章）                      联系人：                                    联系电话：</w:t>
      </w:r>
    </w:p>
    <w:tbl>
      <w:tblPr>
        <w:tblStyle w:val="10"/>
        <w:tblW w:w="4996" w:type="pct"/>
        <w:tblInd w:w="0" w:type="dxa"/>
        <w:tblLayout w:type="autofit"/>
        <w:tblCellMar>
          <w:top w:w="0" w:type="dxa"/>
          <w:left w:w="108" w:type="dxa"/>
          <w:bottom w:w="0" w:type="dxa"/>
          <w:right w:w="108" w:type="dxa"/>
        </w:tblCellMar>
      </w:tblPr>
      <w:tblGrid>
        <w:gridCol w:w="698"/>
        <w:gridCol w:w="1180"/>
        <w:gridCol w:w="1375"/>
        <w:gridCol w:w="1180"/>
        <w:gridCol w:w="1216"/>
        <w:gridCol w:w="6511"/>
        <w:gridCol w:w="1788"/>
      </w:tblGrid>
      <w:tr w14:paraId="5D317905">
        <w:tblPrEx>
          <w:tblCellMar>
            <w:top w:w="0" w:type="dxa"/>
            <w:left w:w="108" w:type="dxa"/>
            <w:bottom w:w="0" w:type="dxa"/>
            <w:right w:w="108" w:type="dxa"/>
          </w:tblCellMar>
        </w:tblPrEx>
        <w:trPr>
          <w:trHeight w:val="561" w:hRule="atLeast"/>
          <w:tblHeader/>
        </w:trPr>
        <w:tc>
          <w:tcPr>
            <w:tcW w:w="246" w:type="pct"/>
            <w:tcBorders>
              <w:top w:val="single" w:color="auto" w:sz="4" w:space="0"/>
              <w:left w:val="single" w:color="auto" w:sz="4" w:space="0"/>
              <w:bottom w:val="single" w:color="auto" w:sz="4" w:space="0"/>
              <w:right w:val="single" w:color="auto" w:sz="4" w:space="0"/>
            </w:tcBorders>
            <w:noWrap/>
            <w:vAlign w:val="center"/>
          </w:tcPr>
          <w:p w14:paraId="61E1239A">
            <w:pPr>
              <w:kinsoku/>
              <w:autoSpaceDE/>
              <w:autoSpaceDN/>
              <w:adjustRightInd/>
              <w:snapToGrid/>
              <w:spacing w:line="240" w:lineRule="auto"/>
              <w:jc w:val="center"/>
              <w:textAlignment w:val="auto"/>
              <w:rPr>
                <w:rFonts w:hint="eastAsia" w:ascii="仿宋_GB2312" w:hAnsi="仿宋_GB2312" w:eastAsia="仿宋_GB2312" w:cs="仿宋_GB2312"/>
                <w:b/>
                <w:bCs/>
                <w:snapToGrid/>
                <w:sz w:val="24"/>
                <w:szCs w:val="24"/>
                <w:lang w:eastAsia="zh-CN"/>
              </w:rPr>
            </w:pPr>
            <w:r>
              <w:rPr>
                <w:rFonts w:hint="eastAsia" w:ascii="仿宋_GB2312" w:hAnsi="仿宋_GB2312" w:eastAsia="仿宋_GB2312" w:cs="仿宋_GB2312"/>
                <w:b/>
                <w:bCs/>
                <w:snapToGrid/>
                <w:sz w:val="24"/>
                <w:szCs w:val="24"/>
                <w:lang w:eastAsia="zh-CN"/>
              </w:rPr>
              <w:t>序号</w:t>
            </w:r>
          </w:p>
        </w:tc>
        <w:tc>
          <w:tcPr>
            <w:tcW w:w="416" w:type="pct"/>
            <w:tcBorders>
              <w:top w:val="single" w:color="auto" w:sz="4" w:space="0"/>
              <w:left w:val="single" w:color="auto" w:sz="4" w:space="0"/>
              <w:bottom w:val="single" w:color="auto" w:sz="4" w:space="0"/>
              <w:right w:val="single" w:color="auto" w:sz="4" w:space="0"/>
            </w:tcBorders>
            <w:noWrap/>
            <w:vAlign w:val="center"/>
          </w:tcPr>
          <w:p w14:paraId="6938A952">
            <w:pPr>
              <w:kinsoku/>
              <w:autoSpaceDE/>
              <w:autoSpaceDN/>
              <w:adjustRightInd/>
              <w:snapToGrid/>
              <w:spacing w:line="240" w:lineRule="auto"/>
              <w:jc w:val="center"/>
              <w:textAlignment w:val="auto"/>
              <w:rPr>
                <w:rFonts w:hint="default" w:ascii="仿宋_GB2312" w:hAnsi="仿宋_GB2312" w:eastAsia="仿宋_GB2312" w:cs="仿宋_GB2312"/>
                <w:b/>
                <w:bCs/>
                <w:snapToGrid/>
                <w:sz w:val="24"/>
                <w:szCs w:val="24"/>
                <w:lang w:val="en-US" w:eastAsia="zh-CN"/>
              </w:rPr>
            </w:pPr>
            <w:r>
              <w:rPr>
                <w:rFonts w:hint="eastAsia" w:ascii="仿宋_GB2312" w:hAnsi="仿宋_GB2312" w:eastAsia="仿宋_GB2312" w:cs="仿宋_GB2312"/>
                <w:b/>
                <w:bCs/>
                <w:snapToGrid/>
                <w:sz w:val="24"/>
                <w:szCs w:val="24"/>
                <w:lang w:val="en-US" w:eastAsia="zh-CN"/>
              </w:rPr>
              <w:t>选手</w:t>
            </w:r>
            <w:r>
              <w:rPr>
                <w:rFonts w:hint="eastAsia" w:ascii="仿宋_GB2312" w:hAnsi="仿宋_GB2312" w:cs="仿宋_GB2312"/>
                <w:b/>
                <w:bCs/>
                <w:snapToGrid/>
                <w:sz w:val="24"/>
                <w:szCs w:val="24"/>
                <w:lang w:val="en-US" w:eastAsia="zh-CN"/>
              </w:rPr>
              <w:t>姓名</w:t>
            </w:r>
          </w:p>
        </w:tc>
        <w:tc>
          <w:tcPr>
            <w:tcW w:w="495" w:type="pct"/>
            <w:tcBorders>
              <w:top w:val="single" w:color="auto" w:sz="4" w:space="0"/>
              <w:left w:val="single" w:color="auto" w:sz="4" w:space="0"/>
              <w:bottom w:val="single" w:color="auto" w:sz="4" w:space="0"/>
              <w:right w:val="single" w:color="auto" w:sz="4" w:space="0"/>
            </w:tcBorders>
            <w:noWrap/>
            <w:vAlign w:val="center"/>
          </w:tcPr>
          <w:p w14:paraId="40CD23D0">
            <w:pPr>
              <w:kinsoku/>
              <w:autoSpaceDE/>
              <w:autoSpaceDN/>
              <w:adjustRightInd/>
              <w:snapToGrid/>
              <w:spacing w:line="240" w:lineRule="auto"/>
              <w:jc w:val="center"/>
              <w:textAlignment w:val="auto"/>
              <w:rPr>
                <w:rFonts w:hint="eastAsia" w:ascii="仿宋_GB2312" w:hAnsi="仿宋_GB2312" w:cs="仿宋_GB2312"/>
                <w:b/>
                <w:bCs/>
                <w:snapToGrid/>
                <w:sz w:val="24"/>
                <w:szCs w:val="24"/>
                <w:lang w:val="en-US" w:eastAsia="zh-CN"/>
              </w:rPr>
            </w:pPr>
            <w:r>
              <w:rPr>
                <w:rFonts w:hint="eastAsia" w:ascii="仿宋_GB2312" w:hAnsi="仿宋_GB2312" w:cs="仿宋_GB2312"/>
                <w:b/>
                <w:bCs/>
                <w:snapToGrid/>
                <w:sz w:val="24"/>
                <w:szCs w:val="24"/>
                <w:lang w:val="en-US" w:eastAsia="zh-CN"/>
              </w:rPr>
              <w:t>设备</w:t>
            </w:r>
          </w:p>
          <w:p w14:paraId="443DACC3">
            <w:pPr>
              <w:kinsoku/>
              <w:autoSpaceDE/>
              <w:autoSpaceDN/>
              <w:adjustRightInd/>
              <w:snapToGrid/>
              <w:spacing w:line="240" w:lineRule="auto"/>
              <w:jc w:val="center"/>
              <w:textAlignment w:val="auto"/>
              <w:rPr>
                <w:rFonts w:hint="default" w:ascii="仿宋_GB2312" w:hAnsi="仿宋_GB2312" w:eastAsia="仿宋_GB2312" w:cs="仿宋_GB2312"/>
                <w:b/>
                <w:bCs/>
                <w:snapToGrid/>
                <w:sz w:val="24"/>
                <w:szCs w:val="24"/>
                <w:lang w:val="en-US" w:eastAsia="zh-CN"/>
              </w:rPr>
            </w:pPr>
            <w:r>
              <w:rPr>
                <w:rFonts w:hint="eastAsia" w:ascii="仿宋_GB2312" w:hAnsi="仿宋_GB2312" w:cs="仿宋_GB2312"/>
                <w:b/>
                <w:bCs/>
                <w:snapToGrid/>
                <w:sz w:val="24"/>
                <w:szCs w:val="24"/>
                <w:lang w:val="en-US" w:eastAsia="zh-CN"/>
              </w:rPr>
              <w:t>名称</w:t>
            </w:r>
          </w:p>
        </w:tc>
        <w:tc>
          <w:tcPr>
            <w:tcW w:w="425" w:type="pct"/>
            <w:tcBorders>
              <w:top w:val="single" w:color="auto" w:sz="4" w:space="0"/>
              <w:left w:val="single" w:color="auto" w:sz="4" w:space="0"/>
              <w:bottom w:val="single" w:color="auto" w:sz="4" w:space="0"/>
              <w:right w:val="single" w:color="auto" w:sz="4" w:space="0"/>
            </w:tcBorders>
            <w:noWrap/>
            <w:vAlign w:val="center"/>
          </w:tcPr>
          <w:p w14:paraId="1F14674B">
            <w:pPr>
              <w:kinsoku/>
              <w:autoSpaceDE/>
              <w:autoSpaceDN/>
              <w:adjustRightInd/>
              <w:snapToGrid/>
              <w:spacing w:line="240" w:lineRule="auto"/>
              <w:jc w:val="center"/>
              <w:textAlignment w:val="auto"/>
              <w:rPr>
                <w:rFonts w:hint="eastAsia" w:ascii="仿宋_GB2312" w:hAnsi="仿宋_GB2312" w:cs="仿宋_GB2312"/>
                <w:b/>
                <w:bCs/>
                <w:snapToGrid/>
                <w:sz w:val="24"/>
                <w:szCs w:val="24"/>
                <w:lang w:val="en-US" w:eastAsia="zh-CN"/>
              </w:rPr>
            </w:pPr>
            <w:r>
              <w:rPr>
                <w:rFonts w:hint="eastAsia" w:ascii="仿宋_GB2312" w:hAnsi="仿宋_GB2312" w:cs="仿宋_GB2312"/>
                <w:b/>
                <w:bCs/>
                <w:snapToGrid/>
                <w:sz w:val="24"/>
                <w:szCs w:val="24"/>
                <w:lang w:val="en-US" w:eastAsia="zh-CN"/>
              </w:rPr>
              <w:t>设备</w:t>
            </w:r>
          </w:p>
          <w:p w14:paraId="7706C056">
            <w:pPr>
              <w:kinsoku/>
              <w:autoSpaceDE/>
              <w:autoSpaceDN/>
              <w:adjustRightInd/>
              <w:snapToGrid/>
              <w:spacing w:line="240" w:lineRule="auto"/>
              <w:jc w:val="center"/>
              <w:textAlignment w:val="auto"/>
              <w:rPr>
                <w:rFonts w:hint="default" w:ascii="仿宋_GB2312" w:hAnsi="仿宋_GB2312" w:cs="仿宋_GB2312"/>
                <w:b/>
                <w:bCs/>
                <w:snapToGrid/>
                <w:sz w:val="24"/>
                <w:szCs w:val="24"/>
                <w:lang w:val="en-US" w:eastAsia="zh-CN"/>
              </w:rPr>
            </w:pPr>
            <w:r>
              <w:rPr>
                <w:rFonts w:hint="eastAsia" w:ascii="仿宋_GB2312" w:hAnsi="仿宋_GB2312" w:cs="仿宋_GB2312"/>
                <w:b/>
                <w:bCs/>
                <w:snapToGrid/>
                <w:sz w:val="24"/>
                <w:szCs w:val="24"/>
                <w:lang w:val="en-US" w:eastAsia="zh-CN"/>
              </w:rPr>
              <w:t>型号</w:t>
            </w:r>
          </w:p>
        </w:tc>
        <w:tc>
          <w:tcPr>
            <w:tcW w:w="438" w:type="pct"/>
            <w:tcBorders>
              <w:top w:val="single" w:color="auto" w:sz="4" w:space="0"/>
              <w:left w:val="single" w:color="auto" w:sz="4" w:space="0"/>
              <w:bottom w:val="single" w:color="auto" w:sz="4" w:space="0"/>
              <w:right w:val="single" w:color="auto" w:sz="4" w:space="0"/>
            </w:tcBorders>
            <w:noWrap/>
            <w:vAlign w:val="center"/>
          </w:tcPr>
          <w:p w14:paraId="178C5EDF">
            <w:pPr>
              <w:kinsoku/>
              <w:autoSpaceDE/>
              <w:autoSpaceDN/>
              <w:adjustRightInd/>
              <w:snapToGrid/>
              <w:spacing w:line="240" w:lineRule="auto"/>
              <w:jc w:val="center"/>
              <w:textAlignment w:val="auto"/>
              <w:rPr>
                <w:rFonts w:hint="eastAsia" w:ascii="仿宋_GB2312" w:hAnsi="仿宋_GB2312" w:cs="仿宋_GB2312"/>
                <w:b/>
                <w:bCs/>
                <w:snapToGrid/>
                <w:sz w:val="24"/>
                <w:szCs w:val="24"/>
                <w:lang w:val="en-US" w:eastAsia="zh-CN"/>
              </w:rPr>
            </w:pPr>
            <w:r>
              <w:rPr>
                <w:rFonts w:hint="eastAsia" w:ascii="仿宋_GB2312" w:hAnsi="仿宋_GB2312" w:cs="仿宋_GB2312"/>
                <w:b/>
                <w:bCs/>
                <w:snapToGrid/>
                <w:sz w:val="24"/>
                <w:szCs w:val="24"/>
                <w:lang w:val="en-US" w:eastAsia="zh-CN"/>
              </w:rPr>
              <w:t>设备</w:t>
            </w:r>
          </w:p>
          <w:p w14:paraId="20FBCEF2">
            <w:pPr>
              <w:kinsoku/>
              <w:autoSpaceDE/>
              <w:autoSpaceDN/>
              <w:adjustRightInd/>
              <w:snapToGrid/>
              <w:spacing w:line="240" w:lineRule="auto"/>
              <w:jc w:val="center"/>
              <w:textAlignment w:val="auto"/>
              <w:rPr>
                <w:rFonts w:hint="default" w:ascii="仿宋_GB2312" w:hAnsi="仿宋_GB2312" w:cs="仿宋_GB2312"/>
                <w:b/>
                <w:bCs/>
                <w:snapToGrid/>
                <w:sz w:val="24"/>
                <w:szCs w:val="24"/>
                <w:lang w:val="en-US" w:eastAsia="zh-CN"/>
              </w:rPr>
            </w:pPr>
            <w:r>
              <w:rPr>
                <w:rFonts w:hint="eastAsia" w:ascii="仿宋_GB2312" w:hAnsi="仿宋_GB2312" w:cs="仿宋_GB2312"/>
                <w:b/>
                <w:bCs/>
                <w:snapToGrid/>
                <w:sz w:val="24"/>
                <w:szCs w:val="24"/>
                <w:lang w:val="en-US" w:eastAsia="zh-CN"/>
              </w:rPr>
              <w:t>厂家</w:t>
            </w:r>
          </w:p>
        </w:tc>
        <w:tc>
          <w:tcPr>
            <w:tcW w:w="2335" w:type="pct"/>
            <w:tcBorders>
              <w:top w:val="single" w:color="auto" w:sz="4" w:space="0"/>
              <w:left w:val="single" w:color="auto" w:sz="4" w:space="0"/>
              <w:bottom w:val="single" w:color="auto" w:sz="4" w:space="0"/>
              <w:right w:val="single" w:color="auto" w:sz="4" w:space="0"/>
            </w:tcBorders>
            <w:noWrap/>
            <w:vAlign w:val="center"/>
          </w:tcPr>
          <w:p w14:paraId="679DA58E">
            <w:pPr>
              <w:kinsoku/>
              <w:autoSpaceDE/>
              <w:autoSpaceDN/>
              <w:adjustRightInd/>
              <w:snapToGrid/>
              <w:spacing w:line="240" w:lineRule="auto"/>
              <w:jc w:val="center"/>
              <w:textAlignment w:val="auto"/>
              <w:rPr>
                <w:rFonts w:hint="eastAsia" w:ascii="仿宋_GB2312" w:hAnsi="仿宋_GB2312" w:eastAsia="仿宋_GB2312" w:cs="仿宋_GB2312"/>
                <w:b/>
                <w:bCs/>
                <w:snapToGrid/>
                <w:sz w:val="24"/>
                <w:szCs w:val="24"/>
                <w:lang w:eastAsia="zh-CN"/>
              </w:rPr>
            </w:pPr>
            <w:r>
              <w:rPr>
                <w:rFonts w:hint="eastAsia" w:ascii="仿宋_GB2312" w:hAnsi="仿宋_GB2312" w:cs="仿宋_GB2312"/>
                <w:b/>
                <w:bCs/>
                <w:snapToGrid/>
                <w:sz w:val="24"/>
                <w:szCs w:val="24"/>
                <w:lang w:val="en-US" w:eastAsia="zh-CN"/>
              </w:rPr>
              <w:t>主要技术</w:t>
            </w:r>
            <w:r>
              <w:rPr>
                <w:rFonts w:hint="eastAsia" w:ascii="仿宋_GB2312" w:hAnsi="仿宋_GB2312" w:eastAsia="仿宋_GB2312" w:cs="仿宋_GB2312"/>
                <w:b/>
                <w:bCs/>
                <w:snapToGrid/>
                <w:sz w:val="24"/>
                <w:szCs w:val="24"/>
                <w:lang w:eastAsia="zh-CN"/>
              </w:rPr>
              <w:t>参数</w:t>
            </w:r>
          </w:p>
        </w:tc>
        <w:tc>
          <w:tcPr>
            <w:tcW w:w="643" w:type="pct"/>
            <w:tcBorders>
              <w:top w:val="single" w:color="auto" w:sz="4" w:space="0"/>
              <w:left w:val="single" w:color="auto" w:sz="4" w:space="0"/>
              <w:bottom w:val="single" w:color="auto" w:sz="4" w:space="0"/>
              <w:right w:val="single" w:color="auto" w:sz="4" w:space="0"/>
            </w:tcBorders>
            <w:noWrap/>
            <w:vAlign w:val="center"/>
          </w:tcPr>
          <w:p w14:paraId="6BF5FFD9">
            <w:pPr>
              <w:kinsoku/>
              <w:autoSpaceDE/>
              <w:autoSpaceDN/>
              <w:adjustRightInd/>
              <w:snapToGrid/>
              <w:spacing w:line="240" w:lineRule="auto"/>
              <w:jc w:val="center"/>
              <w:textAlignment w:val="auto"/>
              <w:rPr>
                <w:rFonts w:hint="eastAsia" w:ascii="仿宋_GB2312" w:hAnsi="仿宋_GB2312" w:eastAsia="仿宋_GB2312" w:cs="仿宋_GB2312"/>
                <w:b/>
                <w:bCs/>
                <w:snapToGrid/>
                <w:sz w:val="24"/>
                <w:szCs w:val="24"/>
                <w:lang w:val="en-US" w:eastAsia="zh-CN"/>
              </w:rPr>
            </w:pPr>
            <w:r>
              <w:rPr>
                <w:rFonts w:hint="eastAsia" w:ascii="仿宋_GB2312" w:hAnsi="仿宋_GB2312" w:eastAsia="仿宋_GB2312" w:cs="仿宋_GB2312"/>
                <w:b/>
                <w:bCs/>
                <w:snapToGrid/>
                <w:sz w:val="24"/>
                <w:szCs w:val="24"/>
                <w:lang w:val="en-US" w:eastAsia="zh-CN"/>
              </w:rPr>
              <w:t>参赛组别</w:t>
            </w:r>
          </w:p>
          <w:p w14:paraId="60B30644">
            <w:pPr>
              <w:kinsoku/>
              <w:autoSpaceDE/>
              <w:autoSpaceDN/>
              <w:adjustRightInd/>
              <w:snapToGrid/>
              <w:spacing w:line="240" w:lineRule="auto"/>
              <w:jc w:val="center"/>
              <w:textAlignment w:val="auto"/>
              <w:rPr>
                <w:rFonts w:hint="eastAsia" w:ascii="仿宋_GB2312" w:hAnsi="仿宋_GB2312" w:eastAsia="仿宋_GB2312" w:cs="仿宋_GB2312"/>
                <w:b/>
                <w:bCs/>
                <w:snapToGrid/>
                <w:sz w:val="24"/>
                <w:szCs w:val="24"/>
                <w:lang w:val="en-US" w:eastAsia="zh-CN"/>
              </w:rPr>
            </w:pPr>
            <w:r>
              <w:rPr>
                <w:rFonts w:hint="eastAsia" w:ascii="仿宋_GB2312" w:hAnsi="仿宋_GB2312" w:eastAsia="仿宋_GB2312" w:cs="仿宋_GB2312"/>
                <w:b/>
                <w:bCs/>
                <w:snapToGrid/>
                <w:sz w:val="24"/>
                <w:szCs w:val="24"/>
                <w:lang w:val="en-US" w:eastAsia="zh-CN"/>
              </w:rPr>
              <w:t>（职工/学生）</w:t>
            </w:r>
          </w:p>
        </w:tc>
      </w:tr>
      <w:tr w14:paraId="6D8AC34A">
        <w:tblPrEx>
          <w:tblCellMar>
            <w:top w:w="0" w:type="dxa"/>
            <w:left w:w="108" w:type="dxa"/>
            <w:bottom w:w="0" w:type="dxa"/>
            <w:right w:w="108" w:type="dxa"/>
          </w:tblCellMar>
        </w:tblPrEx>
        <w:trPr>
          <w:trHeight w:val="1278" w:hRule="atLeast"/>
          <w:tblHeader/>
        </w:trPr>
        <w:tc>
          <w:tcPr>
            <w:tcW w:w="246" w:type="pct"/>
            <w:tcBorders>
              <w:top w:val="single" w:color="auto" w:sz="4" w:space="0"/>
              <w:left w:val="single" w:color="auto" w:sz="4" w:space="0"/>
              <w:bottom w:val="single" w:color="auto" w:sz="4" w:space="0"/>
              <w:right w:val="single" w:color="auto" w:sz="4" w:space="0"/>
            </w:tcBorders>
            <w:noWrap/>
            <w:vAlign w:val="center"/>
          </w:tcPr>
          <w:p w14:paraId="4E30F07E">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1</w:t>
            </w:r>
          </w:p>
        </w:tc>
        <w:tc>
          <w:tcPr>
            <w:tcW w:w="416" w:type="pct"/>
            <w:tcBorders>
              <w:top w:val="single" w:color="auto" w:sz="4" w:space="0"/>
              <w:left w:val="single" w:color="auto" w:sz="4" w:space="0"/>
              <w:bottom w:val="single" w:color="auto" w:sz="4" w:space="0"/>
              <w:right w:val="single" w:color="auto" w:sz="4" w:space="0"/>
            </w:tcBorders>
            <w:noWrap/>
            <w:vAlign w:val="center"/>
          </w:tcPr>
          <w:p w14:paraId="65CBBC31">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495" w:type="pct"/>
            <w:tcBorders>
              <w:top w:val="single" w:color="auto" w:sz="4" w:space="0"/>
              <w:left w:val="single" w:color="auto" w:sz="4" w:space="0"/>
              <w:bottom w:val="single" w:color="auto" w:sz="4" w:space="0"/>
              <w:right w:val="single" w:color="auto" w:sz="4" w:space="0"/>
            </w:tcBorders>
            <w:vAlign w:val="center"/>
          </w:tcPr>
          <w:p w14:paraId="5100B9EA">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25" w:type="pct"/>
            <w:tcBorders>
              <w:top w:val="single" w:color="auto" w:sz="4" w:space="0"/>
              <w:left w:val="single" w:color="auto" w:sz="4" w:space="0"/>
              <w:bottom w:val="single" w:color="auto" w:sz="4" w:space="0"/>
              <w:right w:val="single" w:color="auto" w:sz="4" w:space="0"/>
            </w:tcBorders>
            <w:vAlign w:val="center"/>
          </w:tcPr>
          <w:p w14:paraId="410A82C4">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38" w:type="pct"/>
            <w:tcBorders>
              <w:top w:val="single" w:color="auto" w:sz="4" w:space="0"/>
              <w:left w:val="single" w:color="auto" w:sz="4" w:space="0"/>
              <w:bottom w:val="single" w:color="auto" w:sz="4" w:space="0"/>
              <w:right w:val="single" w:color="auto" w:sz="4" w:space="0"/>
            </w:tcBorders>
            <w:vAlign w:val="center"/>
          </w:tcPr>
          <w:p w14:paraId="0717366E">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2335" w:type="pct"/>
            <w:tcBorders>
              <w:top w:val="single" w:color="auto" w:sz="4" w:space="0"/>
              <w:left w:val="single" w:color="auto" w:sz="4" w:space="0"/>
              <w:bottom w:val="single" w:color="auto" w:sz="4" w:space="0"/>
              <w:right w:val="single" w:color="auto" w:sz="4" w:space="0"/>
            </w:tcBorders>
            <w:vAlign w:val="center"/>
          </w:tcPr>
          <w:p w14:paraId="2DCBA808">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643" w:type="pct"/>
            <w:tcBorders>
              <w:top w:val="single" w:color="auto" w:sz="4" w:space="0"/>
              <w:left w:val="single" w:color="auto" w:sz="4" w:space="0"/>
              <w:bottom w:val="single" w:color="auto" w:sz="4" w:space="0"/>
              <w:right w:val="single" w:color="auto" w:sz="4" w:space="0"/>
            </w:tcBorders>
            <w:vAlign w:val="center"/>
          </w:tcPr>
          <w:p w14:paraId="38468941">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r>
      <w:tr w14:paraId="182B9D71">
        <w:tblPrEx>
          <w:tblCellMar>
            <w:top w:w="0" w:type="dxa"/>
            <w:left w:w="108" w:type="dxa"/>
            <w:bottom w:w="0" w:type="dxa"/>
            <w:right w:w="108" w:type="dxa"/>
          </w:tblCellMar>
        </w:tblPrEx>
        <w:trPr>
          <w:trHeight w:val="1474" w:hRule="atLeast"/>
          <w:tblHeader/>
        </w:trPr>
        <w:tc>
          <w:tcPr>
            <w:tcW w:w="246" w:type="pct"/>
            <w:tcBorders>
              <w:top w:val="single" w:color="auto" w:sz="4" w:space="0"/>
              <w:left w:val="single" w:color="auto" w:sz="4" w:space="0"/>
              <w:bottom w:val="single" w:color="auto" w:sz="4" w:space="0"/>
              <w:right w:val="single" w:color="auto" w:sz="4" w:space="0"/>
            </w:tcBorders>
            <w:noWrap/>
            <w:vAlign w:val="center"/>
          </w:tcPr>
          <w:p w14:paraId="1FCA09E8">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2</w:t>
            </w:r>
          </w:p>
        </w:tc>
        <w:tc>
          <w:tcPr>
            <w:tcW w:w="416" w:type="pct"/>
            <w:tcBorders>
              <w:top w:val="single" w:color="auto" w:sz="4" w:space="0"/>
              <w:left w:val="single" w:color="auto" w:sz="4" w:space="0"/>
              <w:bottom w:val="single" w:color="auto" w:sz="4" w:space="0"/>
              <w:right w:val="single" w:color="auto" w:sz="4" w:space="0"/>
            </w:tcBorders>
            <w:noWrap/>
            <w:vAlign w:val="center"/>
          </w:tcPr>
          <w:p w14:paraId="5E335D45">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495" w:type="pct"/>
            <w:tcBorders>
              <w:top w:val="single" w:color="auto" w:sz="4" w:space="0"/>
              <w:left w:val="single" w:color="auto" w:sz="4" w:space="0"/>
              <w:bottom w:val="single" w:color="auto" w:sz="4" w:space="0"/>
              <w:right w:val="single" w:color="auto" w:sz="4" w:space="0"/>
            </w:tcBorders>
            <w:vAlign w:val="center"/>
          </w:tcPr>
          <w:p w14:paraId="1676705B">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25" w:type="pct"/>
            <w:tcBorders>
              <w:top w:val="single" w:color="auto" w:sz="4" w:space="0"/>
              <w:left w:val="single" w:color="auto" w:sz="4" w:space="0"/>
              <w:bottom w:val="single" w:color="auto" w:sz="4" w:space="0"/>
              <w:right w:val="single" w:color="auto" w:sz="4" w:space="0"/>
            </w:tcBorders>
            <w:vAlign w:val="center"/>
          </w:tcPr>
          <w:p w14:paraId="359432B7">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38" w:type="pct"/>
            <w:tcBorders>
              <w:top w:val="single" w:color="auto" w:sz="4" w:space="0"/>
              <w:left w:val="single" w:color="auto" w:sz="4" w:space="0"/>
              <w:bottom w:val="single" w:color="auto" w:sz="4" w:space="0"/>
              <w:right w:val="single" w:color="auto" w:sz="4" w:space="0"/>
            </w:tcBorders>
            <w:vAlign w:val="center"/>
          </w:tcPr>
          <w:p w14:paraId="1038AA02">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2335" w:type="pct"/>
            <w:tcBorders>
              <w:top w:val="single" w:color="auto" w:sz="4" w:space="0"/>
              <w:left w:val="single" w:color="auto" w:sz="4" w:space="0"/>
              <w:bottom w:val="single" w:color="auto" w:sz="4" w:space="0"/>
              <w:right w:val="single" w:color="auto" w:sz="4" w:space="0"/>
            </w:tcBorders>
            <w:vAlign w:val="center"/>
          </w:tcPr>
          <w:p w14:paraId="5DEC93D8">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643" w:type="pct"/>
            <w:tcBorders>
              <w:top w:val="single" w:color="auto" w:sz="4" w:space="0"/>
              <w:left w:val="single" w:color="auto" w:sz="4" w:space="0"/>
              <w:bottom w:val="single" w:color="auto" w:sz="4" w:space="0"/>
              <w:right w:val="single" w:color="auto" w:sz="4" w:space="0"/>
            </w:tcBorders>
            <w:vAlign w:val="center"/>
          </w:tcPr>
          <w:p w14:paraId="52D28AA9">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r>
      <w:tr w14:paraId="2FC993B0">
        <w:tblPrEx>
          <w:tblCellMar>
            <w:top w:w="0" w:type="dxa"/>
            <w:left w:w="108" w:type="dxa"/>
            <w:bottom w:w="0" w:type="dxa"/>
            <w:right w:w="108" w:type="dxa"/>
          </w:tblCellMar>
        </w:tblPrEx>
        <w:trPr>
          <w:trHeight w:val="1757" w:hRule="atLeast"/>
          <w:tblHeader/>
        </w:trPr>
        <w:tc>
          <w:tcPr>
            <w:tcW w:w="246" w:type="pct"/>
            <w:tcBorders>
              <w:top w:val="single" w:color="auto" w:sz="4" w:space="0"/>
              <w:left w:val="single" w:color="auto" w:sz="4" w:space="0"/>
              <w:bottom w:val="single" w:color="auto" w:sz="4" w:space="0"/>
              <w:right w:val="single" w:color="auto" w:sz="4" w:space="0"/>
            </w:tcBorders>
            <w:noWrap/>
            <w:vAlign w:val="center"/>
          </w:tcPr>
          <w:p w14:paraId="5F0DDF09">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3</w:t>
            </w:r>
          </w:p>
        </w:tc>
        <w:tc>
          <w:tcPr>
            <w:tcW w:w="416" w:type="pct"/>
            <w:tcBorders>
              <w:top w:val="single" w:color="auto" w:sz="4" w:space="0"/>
              <w:left w:val="single" w:color="auto" w:sz="4" w:space="0"/>
              <w:bottom w:val="single" w:color="auto" w:sz="4" w:space="0"/>
              <w:right w:val="single" w:color="auto" w:sz="4" w:space="0"/>
            </w:tcBorders>
            <w:noWrap/>
            <w:vAlign w:val="center"/>
          </w:tcPr>
          <w:p w14:paraId="6455D611">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495" w:type="pct"/>
            <w:tcBorders>
              <w:top w:val="single" w:color="auto" w:sz="4" w:space="0"/>
              <w:left w:val="single" w:color="auto" w:sz="4" w:space="0"/>
              <w:bottom w:val="single" w:color="auto" w:sz="4" w:space="0"/>
              <w:right w:val="single" w:color="auto" w:sz="4" w:space="0"/>
            </w:tcBorders>
            <w:vAlign w:val="center"/>
          </w:tcPr>
          <w:p w14:paraId="0909A935">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25" w:type="pct"/>
            <w:tcBorders>
              <w:top w:val="single" w:color="auto" w:sz="4" w:space="0"/>
              <w:left w:val="single" w:color="auto" w:sz="4" w:space="0"/>
              <w:bottom w:val="single" w:color="auto" w:sz="4" w:space="0"/>
              <w:right w:val="single" w:color="auto" w:sz="4" w:space="0"/>
            </w:tcBorders>
            <w:vAlign w:val="center"/>
          </w:tcPr>
          <w:p w14:paraId="120E2EB0">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38" w:type="pct"/>
            <w:tcBorders>
              <w:top w:val="single" w:color="auto" w:sz="4" w:space="0"/>
              <w:left w:val="single" w:color="auto" w:sz="4" w:space="0"/>
              <w:bottom w:val="single" w:color="auto" w:sz="4" w:space="0"/>
              <w:right w:val="single" w:color="auto" w:sz="4" w:space="0"/>
            </w:tcBorders>
            <w:vAlign w:val="center"/>
          </w:tcPr>
          <w:p w14:paraId="3EF1E03C">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2335" w:type="pct"/>
            <w:tcBorders>
              <w:top w:val="single" w:color="auto" w:sz="4" w:space="0"/>
              <w:left w:val="single" w:color="auto" w:sz="4" w:space="0"/>
              <w:bottom w:val="single" w:color="auto" w:sz="4" w:space="0"/>
              <w:right w:val="single" w:color="auto" w:sz="4" w:space="0"/>
            </w:tcBorders>
            <w:vAlign w:val="center"/>
          </w:tcPr>
          <w:p w14:paraId="10EBD9E2">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643" w:type="pct"/>
            <w:tcBorders>
              <w:top w:val="single" w:color="auto" w:sz="4" w:space="0"/>
              <w:left w:val="single" w:color="auto" w:sz="4" w:space="0"/>
              <w:bottom w:val="single" w:color="auto" w:sz="4" w:space="0"/>
              <w:right w:val="single" w:color="auto" w:sz="4" w:space="0"/>
            </w:tcBorders>
            <w:vAlign w:val="center"/>
          </w:tcPr>
          <w:p w14:paraId="1DC3654A">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r>
      <w:tr w14:paraId="533E6924">
        <w:tblPrEx>
          <w:tblCellMar>
            <w:top w:w="0" w:type="dxa"/>
            <w:left w:w="108" w:type="dxa"/>
            <w:bottom w:w="0" w:type="dxa"/>
            <w:right w:w="108" w:type="dxa"/>
          </w:tblCellMar>
        </w:tblPrEx>
        <w:trPr>
          <w:trHeight w:val="1234" w:hRule="atLeast"/>
          <w:tblHeader/>
        </w:trPr>
        <w:tc>
          <w:tcPr>
            <w:tcW w:w="246" w:type="pct"/>
            <w:tcBorders>
              <w:top w:val="single" w:color="auto" w:sz="4" w:space="0"/>
              <w:left w:val="single" w:color="auto" w:sz="4" w:space="0"/>
              <w:bottom w:val="single" w:color="auto" w:sz="4" w:space="0"/>
              <w:right w:val="single" w:color="auto" w:sz="4" w:space="0"/>
            </w:tcBorders>
            <w:noWrap/>
            <w:vAlign w:val="center"/>
          </w:tcPr>
          <w:p w14:paraId="00B3B9B4">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4</w:t>
            </w:r>
          </w:p>
        </w:tc>
        <w:tc>
          <w:tcPr>
            <w:tcW w:w="416" w:type="pct"/>
            <w:tcBorders>
              <w:top w:val="single" w:color="auto" w:sz="4" w:space="0"/>
              <w:left w:val="single" w:color="auto" w:sz="4" w:space="0"/>
              <w:bottom w:val="single" w:color="auto" w:sz="4" w:space="0"/>
              <w:right w:val="single" w:color="auto" w:sz="4" w:space="0"/>
            </w:tcBorders>
            <w:noWrap/>
            <w:vAlign w:val="center"/>
          </w:tcPr>
          <w:p w14:paraId="045DE77B">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495" w:type="pct"/>
            <w:tcBorders>
              <w:top w:val="single" w:color="auto" w:sz="4" w:space="0"/>
              <w:left w:val="single" w:color="auto" w:sz="4" w:space="0"/>
              <w:bottom w:val="single" w:color="auto" w:sz="4" w:space="0"/>
              <w:right w:val="single" w:color="auto" w:sz="4" w:space="0"/>
            </w:tcBorders>
            <w:noWrap/>
            <w:vAlign w:val="center"/>
          </w:tcPr>
          <w:p w14:paraId="36972046">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E9A8492">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38" w:type="pct"/>
            <w:tcBorders>
              <w:top w:val="single" w:color="auto" w:sz="4" w:space="0"/>
              <w:left w:val="single" w:color="auto" w:sz="4" w:space="0"/>
              <w:bottom w:val="single" w:color="auto" w:sz="4" w:space="0"/>
              <w:right w:val="single" w:color="auto" w:sz="4" w:space="0"/>
            </w:tcBorders>
            <w:noWrap/>
            <w:vAlign w:val="center"/>
          </w:tcPr>
          <w:p w14:paraId="7DA1C42A">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2335" w:type="pct"/>
            <w:tcBorders>
              <w:top w:val="single" w:color="auto" w:sz="4" w:space="0"/>
              <w:left w:val="single" w:color="auto" w:sz="4" w:space="0"/>
              <w:bottom w:val="single" w:color="auto" w:sz="4" w:space="0"/>
              <w:right w:val="single" w:color="auto" w:sz="4" w:space="0"/>
            </w:tcBorders>
            <w:noWrap/>
            <w:vAlign w:val="center"/>
          </w:tcPr>
          <w:p w14:paraId="772B8681">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643" w:type="pct"/>
            <w:tcBorders>
              <w:top w:val="single" w:color="auto" w:sz="4" w:space="0"/>
              <w:left w:val="single" w:color="auto" w:sz="4" w:space="0"/>
              <w:bottom w:val="single" w:color="auto" w:sz="4" w:space="0"/>
              <w:right w:val="single" w:color="auto" w:sz="4" w:space="0"/>
            </w:tcBorders>
            <w:noWrap/>
            <w:vAlign w:val="center"/>
          </w:tcPr>
          <w:p w14:paraId="3B6F014A">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r>
      <w:tr w14:paraId="3DD10E3B">
        <w:tblPrEx>
          <w:tblCellMar>
            <w:top w:w="0" w:type="dxa"/>
            <w:left w:w="108" w:type="dxa"/>
            <w:bottom w:w="0" w:type="dxa"/>
            <w:right w:w="108" w:type="dxa"/>
          </w:tblCellMar>
        </w:tblPrEx>
        <w:trPr>
          <w:trHeight w:val="1234" w:hRule="atLeast"/>
          <w:tblHeader/>
        </w:trPr>
        <w:tc>
          <w:tcPr>
            <w:tcW w:w="246" w:type="pct"/>
            <w:tcBorders>
              <w:top w:val="single" w:color="auto" w:sz="4" w:space="0"/>
              <w:left w:val="single" w:color="auto" w:sz="4" w:space="0"/>
              <w:bottom w:val="single" w:color="auto" w:sz="4" w:space="0"/>
              <w:right w:val="single" w:color="auto" w:sz="4" w:space="0"/>
            </w:tcBorders>
            <w:noWrap/>
            <w:vAlign w:val="center"/>
          </w:tcPr>
          <w:p w14:paraId="26589E6E">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5</w:t>
            </w:r>
          </w:p>
        </w:tc>
        <w:tc>
          <w:tcPr>
            <w:tcW w:w="416" w:type="pct"/>
            <w:tcBorders>
              <w:top w:val="single" w:color="auto" w:sz="4" w:space="0"/>
              <w:left w:val="single" w:color="auto" w:sz="4" w:space="0"/>
              <w:bottom w:val="single" w:color="auto" w:sz="4" w:space="0"/>
              <w:right w:val="single" w:color="auto" w:sz="4" w:space="0"/>
            </w:tcBorders>
            <w:noWrap/>
            <w:vAlign w:val="center"/>
          </w:tcPr>
          <w:p w14:paraId="2A6BC2EB">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495" w:type="pct"/>
            <w:tcBorders>
              <w:top w:val="single" w:color="auto" w:sz="4" w:space="0"/>
              <w:left w:val="single" w:color="auto" w:sz="4" w:space="0"/>
              <w:bottom w:val="single" w:color="auto" w:sz="4" w:space="0"/>
              <w:right w:val="single" w:color="auto" w:sz="4" w:space="0"/>
            </w:tcBorders>
            <w:vAlign w:val="center"/>
          </w:tcPr>
          <w:p w14:paraId="45188683">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25" w:type="pct"/>
            <w:tcBorders>
              <w:top w:val="single" w:color="auto" w:sz="4" w:space="0"/>
              <w:left w:val="single" w:color="auto" w:sz="4" w:space="0"/>
              <w:bottom w:val="single" w:color="auto" w:sz="4" w:space="0"/>
              <w:right w:val="single" w:color="auto" w:sz="4" w:space="0"/>
            </w:tcBorders>
            <w:vAlign w:val="center"/>
          </w:tcPr>
          <w:p w14:paraId="25988C18">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38" w:type="pct"/>
            <w:tcBorders>
              <w:top w:val="single" w:color="auto" w:sz="4" w:space="0"/>
              <w:left w:val="single" w:color="auto" w:sz="4" w:space="0"/>
              <w:bottom w:val="single" w:color="auto" w:sz="4" w:space="0"/>
              <w:right w:val="single" w:color="auto" w:sz="4" w:space="0"/>
            </w:tcBorders>
            <w:vAlign w:val="center"/>
          </w:tcPr>
          <w:p w14:paraId="78CB1257">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2335" w:type="pct"/>
            <w:tcBorders>
              <w:top w:val="single" w:color="auto" w:sz="4" w:space="0"/>
              <w:left w:val="single" w:color="auto" w:sz="4" w:space="0"/>
              <w:bottom w:val="single" w:color="auto" w:sz="4" w:space="0"/>
              <w:right w:val="single" w:color="auto" w:sz="4" w:space="0"/>
            </w:tcBorders>
            <w:vAlign w:val="center"/>
          </w:tcPr>
          <w:p w14:paraId="7C505A63">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643" w:type="pct"/>
            <w:tcBorders>
              <w:top w:val="single" w:color="auto" w:sz="4" w:space="0"/>
              <w:left w:val="single" w:color="auto" w:sz="4" w:space="0"/>
              <w:bottom w:val="single" w:color="auto" w:sz="4" w:space="0"/>
              <w:right w:val="single" w:color="auto" w:sz="4" w:space="0"/>
            </w:tcBorders>
            <w:vAlign w:val="center"/>
          </w:tcPr>
          <w:p w14:paraId="66F2189C">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r>
      <w:tr w14:paraId="3398FCCD">
        <w:tblPrEx>
          <w:tblCellMar>
            <w:top w:w="0" w:type="dxa"/>
            <w:left w:w="108" w:type="dxa"/>
            <w:bottom w:w="0" w:type="dxa"/>
            <w:right w:w="108" w:type="dxa"/>
          </w:tblCellMar>
        </w:tblPrEx>
        <w:trPr>
          <w:trHeight w:val="1234" w:hRule="atLeast"/>
          <w:tblHeader/>
        </w:trPr>
        <w:tc>
          <w:tcPr>
            <w:tcW w:w="246" w:type="pct"/>
            <w:tcBorders>
              <w:top w:val="single" w:color="auto" w:sz="4" w:space="0"/>
              <w:left w:val="single" w:color="auto" w:sz="4" w:space="0"/>
              <w:bottom w:val="single" w:color="auto" w:sz="4" w:space="0"/>
              <w:right w:val="single" w:color="auto" w:sz="4" w:space="0"/>
            </w:tcBorders>
            <w:noWrap/>
            <w:vAlign w:val="center"/>
          </w:tcPr>
          <w:p w14:paraId="48D654BA">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6</w:t>
            </w:r>
          </w:p>
        </w:tc>
        <w:tc>
          <w:tcPr>
            <w:tcW w:w="416" w:type="pct"/>
            <w:tcBorders>
              <w:top w:val="single" w:color="auto" w:sz="4" w:space="0"/>
              <w:left w:val="single" w:color="auto" w:sz="4" w:space="0"/>
              <w:bottom w:val="single" w:color="auto" w:sz="4" w:space="0"/>
              <w:right w:val="single" w:color="auto" w:sz="4" w:space="0"/>
            </w:tcBorders>
            <w:noWrap/>
            <w:vAlign w:val="center"/>
          </w:tcPr>
          <w:p w14:paraId="24C9C928">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495" w:type="pct"/>
            <w:tcBorders>
              <w:top w:val="single" w:color="auto" w:sz="4" w:space="0"/>
              <w:left w:val="single" w:color="auto" w:sz="4" w:space="0"/>
              <w:bottom w:val="single" w:color="auto" w:sz="4" w:space="0"/>
              <w:right w:val="single" w:color="auto" w:sz="4" w:space="0"/>
            </w:tcBorders>
            <w:noWrap/>
            <w:vAlign w:val="center"/>
          </w:tcPr>
          <w:p w14:paraId="197A1FA4">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8AA3B49">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38" w:type="pct"/>
            <w:tcBorders>
              <w:top w:val="single" w:color="auto" w:sz="4" w:space="0"/>
              <w:left w:val="single" w:color="auto" w:sz="4" w:space="0"/>
              <w:bottom w:val="single" w:color="auto" w:sz="4" w:space="0"/>
              <w:right w:val="single" w:color="auto" w:sz="4" w:space="0"/>
            </w:tcBorders>
            <w:noWrap/>
            <w:vAlign w:val="center"/>
          </w:tcPr>
          <w:p w14:paraId="1E8C8951">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2335" w:type="pct"/>
            <w:tcBorders>
              <w:top w:val="single" w:color="auto" w:sz="4" w:space="0"/>
              <w:left w:val="single" w:color="auto" w:sz="4" w:space="0"/>
              <w:bottom w:val="single" w:color="auto" w:sz="4" w:space="0"/>
              <w:right w:val="single" w:color="auto" w:sz="4" w:space="0"/>
            </w:tcBorders>
            <w:noWrap/>
            <w:vAlign w:val="center"/>
          </w:tcPr>
          <w:p w14:paraId="79501D9F">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　</w:t>
            </w:r>
          </w:p>
        </w:tc>
        <w:tc>
          <w:tcPr>
            <w:tcW w:w="643" w:type="pct"/>
            <w:tcBorders>
              <w:top w:val="single" w:color="auto" w:sz="4" w:space="0"/>
              <w:left w:val="single" w:color="auto" w:sz="4" w:space="0"/>
              <w:bottom w:val="single" w:color="auto" w:sz="4" w:space="0"/>
              <w:right w:val="single" w:color="auto" w:sz="4" w:space="0"/>
            </w:tcBorders>
            <w:noWrap/>
            <w:vAlign w:val="center"/>
          </w:tcPr>
          <w:p w14:paraId="7373B163">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r>
      <w:tr w14:paraId="793143DB">
        <w:tblPrEx>
          <w:tblCellMar>
            <w:top w:w="0" w:type="dxa"/>
            <w:left w:w="108" w:type="dxa"/>
            <w:bottom w:w="0" w:type="dxa"/>
            <w:right w:w="108" w:type="dxa"/>
          </w:tblCellMar>
        </w:tblPrEx>
        <w:trPr>
          <w:trHeight w:val="1234" w:hRule="atLeast"/>
          <w:tblHeader/>
        </w:trPr>
        <w:tc>
          <w:tcPr>
            <w:tcW w:w="246" w:type="pct"/>
            <w:tcBorders>
              <w:top w:val="single" w:color="auto" w:sz="4" w:space="0"/>
              <w:left w:val="single" w:color="auto" w:sz="4" w:space="0"/>
              <w:bottom w:val="single" w:color="auto" w:sz="4" w:space="0"/>
              <w:right w:val="single" w:color="auto" w:sz="4" w:space="0"/>
            </w:tcBorders>
            <w:noWrap/>
            <w:vAlign w:val="center"/>
          </w:tcPr>
          <w:p w14:paraId="6C5972F4">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val="en-US" w:eastAsia="zh-CN"/>
              </w:rPr>
            </w:pPr>
            <w:r>
              <w:rPr>
                <w:rFonts w:hint="eastAsia" w:ascii="仿宋_GB2312" w:hAnsi="仿宋_GB2312" w:eastAsia="仿宋_GB2312" w:cs="仿宋_GB2312"/>
                <w:snapToGrid/>
                <w:sz w:val="24"/>
                <w:szCs w:val="24"/>
                <w:lang w:val="en-US" w:eastAsia="zh-CN"/>
              </w:rPr>
              <w:t>7</w:t>
            </w:r>
          </w:p>
        </w:tc>
        <w:tc>
          <w:tcPr>
            <w:tcW w:w="416" w:type="pct"/>
            <w:tcBorders>
              <w:top w:val="single" w:color="auto" w:sz="4" w:space="0"/>
              <w:left w:val="single" w:color="auto" w:sz="4" w:space="0"/>
              <w:bottom w:val="single" w:color="auto" w:sz="4" w:space="0"/>
              <w:right w:val="single" w:color="auto" w:sz="4" w:space="0"/>
            </w:tcBorders>
            <w:noWrap/>
            <w:vAlign w:val="center"/>
          </w:tcPr>
          <w:p w14:paraId="66DD4182">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p>
        </w:tc>
        <w:tc>
          <w:tcPr>
            <w:tcW w:w="495" w:type="pct"/>
            <w:tcBorders>
              <w:top w:val="single" w:color="auto" w:sz="4" w:space="0"/>
              <w:left w:val="single" w:color="auto" w:sz="4" w:space="0"/>
              <w:bottom w:val="single" w:color="auto" w:sz="4" w:space="0"/>
              <w:right w:val="single" w:color="auto" w:sz="4" w:space="0"/>
            </w:tcBorders>
            <w:noWrap/>
            <w:vAlign w:val="center"/>
          </w:tcPr>
          <w:p w14:paraId="5CE4B0A9">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46C3A9B">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38" w:type="pct"/>
            <w:tcBorders>
              <w:top w:val="single" w:color="auto" w:sz="4" w:space="0"/>
              <w:left w:val="single" w:color="auto" w:sz="4" w:space="0"/>
              <w:bottom w:val="single" w:color="auto" w:sz="4" w:space="0"/>
              <w:right w:val="single" w:color="auto" w:sz="4" w:space="0"/>
            </w:tcBorders>
            <w:noWrap/>
            <w:vAlign w:val="center"/>
          </w:tcPr>
          <w:p w14:paraId="430150C4">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2335" w:type="pct"/>
            <w:tcBorders>
              <w:top w:val="single" w:color="auto" w:sz="4" w:space="0"/>
              <w:left w:val="single" w:color="auto" w:sz="4" w:space="0"/>
              <w:bottom w:val="single" w:color="auto" w:sz="4" w:space="0"/>
              <w:right w:val="single" w:color="auto" w:sz="4" w:space="0"/>
            </w:tcBorders>
            <w:noWrap/>
            <w:vAlign w:val="center"/>
          </w:tcPr>
          <w:p w14:paraId="4D364189">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643" w:type="pct"/>
            <w:tcBorders>
              <w:top w:val="single" w:color="auto" w:sz="4" w:space="0"/>
              <w:left w:val="single" w:color="auto" w:sz="4" w:space="0"/>
              <w:bottom w:val="single" w:color="auto" w:sz="4" w:space="0"/>
              <w:right w:val="single" w:color="auto" w:sz="4" w:space="0"/>
            </w:tcBorders>
            <w:noWrap/>
            <w:vAlign w:val="center"/>
          </w:tcPr>
          <w:p w14:paraId="6ADDF801">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r>
      <w:tr w14:paraId="5CBA4F72">
        <w:tblPrEx>
          <w:tblCellMar>
            <w:top w:w="0" w:type="dxa"/>
            <w:left w:w="108" w:type="dxa"/>
            <w:bottom w:w="0" w:type="dxa"/>
            <w:right w:w="108" w:type="dxa"/>
          </w:tblCellMar>
        </w:tblPrEx>
        <w:trPr>
          <w:trHeight w:val="1249" w:hRule="atLeast"/>
          <w:tblHeader/>
        </w:trPr>
        <w:tc>
          <w:tcPr>
            <w:tcW w:w="246" w:type="pct"/>
            <w:tcBorders>
              <w:top w:val="single" w:color="auto" w:sz="4" w:space="0"/>
              <w:left w:val="single" w:color="auto" w:sz="4" w:space="0"/>
              <w:bottom w:val="single" w:color="auto" w:sz="4" w:space="0"/>
              <w:right w:val="single" w:color="auto" w:sz="4" w:space="0"/>
            </w:tcBorders>
            <w:noWrap/>
            <w:vAlign w:val="center"/>
          </w:tcPr>
          <w:p w14:paraId="17C8E79E">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val="en-US" w:eastAsia="zh-CN"/>
              </w:rPr>
            </w:pPr>
            <w:r>
              <w:rPr>
                <w:rFonts w:hint="eastAsia" w:ascii="仿宋_GB2312" w:hAnsi="仿宋_GB2312" w:eastAsia="仿宋_GB2312" w:cs="仿宋_GB2312"/>
                <w:snapToGrid/>
                <w:sz w:val="24"/>
                <w:szCs w:val="24"/>
                <w:lang w:val="en-US" w:eastAsia="zh-CN"/>
              </w:rPr>
              <w:t>8</w:t>
            </w:r>
          </w:p>
        </w:tc>
        <w:tc>
          <w:tcPr>
            <w:tcW w:w="416" w:type="pct"/>
            <w:tcBorders>
              <w:top w:val="single" w:color="auto" w:sz="4" w:space="0"/>
              <w:left w:val="single" w:color="auto" w:sz="4" w:space="0"/>
              <w:bottom w:val="single" w:color="auto" w:sz="4" w:space="0"/>
              <w:right w:val="single" w:color="auto" w:sz="4" w:space="0"/>
            </w:tcBorders>
            <w:noWrap/>
            <w:vAlign w:val="center"/>
          </w:tcPr>
          <w:p w14:paraId="4F321556">
            <w:pPr>
              <w:kinsoku/>
              <w:autoSpaceDE/>
              <w:autoSpaceDN/>
              <w:adjustRightInd/>
              <w:snapToGrid/>
              <w:spacing w:line="240" w:lineRule="auto"/>
              <w:jc w:val="center"/>
              <w:textAlignment w:val="auto"/>
              <w:rPr>
                <w:rFonts w:hint="eastAsia" w:ascii="仿宋_GB2312" w:hAnsi="仿宋_GB2312" w:eastAsia="仿宋_GB2312" w:cs="仿宋_GB2312"/>
                <w:snapToGrid/>
                <w:sz w:val="24"/>
                <w:szCs w:val="24"/>
                <w:lang w:eastAsia="zh-CN"/>
              </w:rPr>
            </w:pPr>
          </w:p>
        </w:tc>
        <w:tc>
          <w:tcPr>
            <w:tcW w:w="495" w:type="pct"/>
            <w:tcBorders>
              <w:top w:val="single" w:color="auto" w:sz="4" w:space="0"/>
              <w:left w:val="single" w:color="auto" w:sz="4" w:space="0"/>
              <w:bottom w:val="single" w:color="auto" w:sz="4" w:space="0"/>
              <w:right w:val="single" w:color="auto" w:sz="4" w:space="0"/>
            </w:tcBorders>
            <w:noWrap/>
            <w:vAlign w:val="center"/>
          </w:tcPr>
          <w:p w14:paraId="61CDD4C9">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B91C4B4">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438" w:type="pct"/>
            <w:tcBorders>
              <w:top w:val="single" w:color="auto" w:sz="4" w:space="0"/>
              <w:left w:val="single" w:color="auto" w:sz="4" w:space="0"/>
              <w:bottom w:val="single" w:color="auto" w:sz="4" w:space="0"/>
              <w:right w:val="single" w:color="auto" w:sz="4" w:space="0"/>
            </w:tcBorders>
            <w:noWrap/>
            <w:vAlign w:val="center"/>
          </w:tcPr>
          <w:p w14:paraId="08B79254">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2335" w:type="pct"/>
            <w:tcBorders>
              <w:top w:val="single" w:color="auto" w:sz="4" w:space="0"/>
              <w:left w:val="single" w:color="auto" w:sz="4" w:space="0"/>
              <w:bottom w:val="single" w:color="auto" w:sz="4" w:space="0"/>
              <w:right w:val="single" w:color="auto" w:sz="4" w:space="0"/>
            </w:tcBorders>
            <w:noWrap/>
            <w:vAlign w:val="center"/>
          </w:tcPr>
          <w:p w14:paraId="0EE553BA">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c>
          <w:tcPr>
            <w:tcW w:w="643" w:type="pct"/>
            <w:tcBorders>
              <w:top w:val="single" w:color="auto" w:sz="4" w:space="0"/>
              <w:left w:val="single" w:color="auto" w:sz="4" w:space="0"/>
              <w:bottom w:val="single" w:color="auto" w:sz="4" w:space="0"/>
              <w:right w:val="single" w:color="auto" w:sz="4" w:space="0"/>
            </w:tcBorders>
            <w:noWrap/>
            <w:vAlign w:val="center"/>
          </w:tcPr>
          <w:p w14:paraId="4927170A">
            <w:pPr>
              <w:kinsoku/>
              <w:autoSpaceDE/>
              <w:autoSpaceDN/>
              <w:adjustRightInd/>
              <w:snapToGrid/>
              <w:spacing w:line="240" w:lineRule="auto"/>
              <w:textAlignment w:val="auto"/>
              <w:rPr>
                <w:rFonts w:hint="eastAsia" w:ascii="仿宋_GB2312" w:hAnsi="仿宋_GB2312" w:eastAsia="仿宋_GB2312" w:cs="仿宋_GB2312"/>
                <w:snapToGrid/>
                <w:sz w:val="24"/>
                <w:szCs w:val="24"/>
                <w:lang w:eastAsia="zh-CN"/>
              </w:rPr>
            </w:pPr>
          </w:p>
        </w:tc>
      </w:tr>
    </w:tbl>
    <w:p w14:paraId="55E867B2">
      <w:pPr>
        <w:rPr>
          <w:rFonts w:hint="default" w:ascii="仿宋_GB2312" w:hAnsi="仿宋_GB2312" w:eastAsia="仿宋_GB2312" w:cs="仿宋_GB2312"/>
          <w:sz w:val="24"/>
          <w:szCs w:val="24"/>
          <w:lang w:val="en-US" w:eastAsia="zh-CN"/>
        </w:rPr>
      </w:pPr>
      <w:r>
        <w:rPr>
          <w:rFonts w:hint="eastAsia" w:ascii="仿宋_GB2312" w:hAnsi="仿宋_GB2312" w:cs="仿宋_GB2312"/>
          <w:sz w:val="24"/>
          <w:szCs w:val="24"/>
          <w:lang w:val="en-US" w:eastAsia="zh-CN"/>
        </w:rPr>
        <w:t>注：参赛选手设备配置登记表以参赛队为单位，盖章后将pdf版本于比赛前一周发送至技术支持单位邮箱</w:t>
      </w:r>
      <w:r>
        <w:rPr>
          <w:rFonts w:hint="default" w:ascii="Times New Roman" w:hAnsi="Times New Roman" w:cs="Times New Roman"/>
          <w:sz w:val="24"/>
          <w:szCs w:val="24"/>
          <w:u w:val="single"/>
          <w:lang w:val="en-US" w:eastAsia="zh-CN"/>
        </w:rPr>
        <w:t>1193779443@qq.com</w:t>
      </w:r>
      <w:r>
        <w:rPr>
          <w:rFonts w:hint="eastAsia" w:ascii="仿宋_GB2312" w:hAnsi="仿宋_GB2312" w:cs="仿宋_GB2312"/>
          <w:sz w:val="24"/>
          <w:szCs w:val="24"/>
          <w:lang w:val="en-US" w:eastAsia="zh-CN"/>
        </w:rPr>
        <w:t>。参赛队报到时需将盖章后的纸质版上交给承办方报到处。</w:t>
      </w:r>
    </w:p>
    <w:sectPr>
      <w:pgSz w:w="16839" w:h="11906" w:orient="landscape"/>
      <w:pgMar w:top="1800" w:right="1440" w:bottom="1800" w:left="1440" w:header="0" w:footer="794" w:gutter="0"/>
      <w:pgNumType w:fmt="decimal" w:start="1"/>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A2356">
    <w:pPr>
      <w:pStyle w:val="7"/>
      <w:jc w:val="both"/>
    </w:pPr>
  </w:p>
  <w:p w14:paraId="34AC836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55239">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1490"/>
                            <w:docPartObj>
                              <w:docPartGallery w:val="autotext"/>
                            </w:docPartObj>
                          </w:sdtPr>
                          <w:sdtContent>
                            <w:p w14:paraId="7BA3FF64">
                              <w:pPr>
                                <w:pStyle w:val="7"/>
                                <w:jc w:val="center"/>
                              </w:pPr>
                              <w:r>
                                <w:fldChar w:fldCharType="begin"/>
                              </w:r>
                              <w:r>
                                <w:instrText xml:space="preserve">PAGE   \* MERGEFORMAT</w:instrText>
                              </w:r>
                              <w:r>
                                <w:fldChar w:fldCharType="separate"/>
                              </w:r>
                              <w:r>
                                <w:rPr>
                                  <w:lang w:val="zh-CN" w:eastAsia="zh-CN"/>
                                </w:rPr>
                                <w:t>2</w:t>
                              </w:r>
                              <w:r>
                                <w:fldChar w:fldCharType="end"/>
                              </w:r>
                            </w:p>
                          </w:sdtContent>
                        </w:sdt>
                        <w:p w14:paraId="38A662A3">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47461490"/>
                      <w:docPartObj>
                        <w:docPartGallery w:val="autotext"/>
                      </w:docPartObj>
                    </w:sdtPr>
                    <w:sdtContent>
                      <w:p w14:paraId="7BA3FF64">
                        <w:pPr>
                          <w:pStyle w:val="7"/>
                          <w:jc w:val="center"/>
                        </w:pPr>
                        <w:r>
                          <w:fldChar w:fldCharType="begin"/>
                        </w:r>
                        <w:r>
                          <w:instrText xml:space="preserve">PAGE   \* MERGEFORMAT</w:instrText>
                        </w:r>
                        <w:r>
                          <w:fldChar w:fldCharType="separate"/>
                        </w:r>
                        <w:r>
                          <w:rPr>
                            <w:lang w:val="zh-CN" w:eastAsia="zh-CN"/>
                          </w:rPr>
                          <w:t>2</w:t>
                        </w:r>
                        <w:r>
                          <w:fldChar w:fldCharType="end"/>
                        </w:r>
                      </w:p>
                    </w:sdtContent>
                  </w:sdt>
                  <w:p w14:paraId="38A662A3">
                    <w:pPr>
                      <w:pStyle w:val="2"/>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QyZTMwZDViOTlmOWZhNTZmYWJhMTdiODE1YmU5YzQifQ=="/>
  </w:docVars>
  <w:rsids>
    <w:rsidRoot w:val="002F6C71"/>
    <w:rsid w:val="000002E8"/>
    <w:rsid w:val="00000B34"/>
    <w:rsid w:val="00005126"/>
    <w:rsid w:val="00006441"/>
    <w:rsid w:val="000212A0"/>
    <w:rsid w:val="0003349A"/>
    <w:rsid w:val="00033BC6"/>
    <w:rsid w:val="000376F6"/>
    <w:rsid w:val="00040917"/>
    <w:rsid w:val="00060F8B"/>
    <w:rsid w:val="000625BA"/>
    <w:rsid w:val="00063201"/>
    <w:rsid w:val="00064BD1"/>
    <w:rsid w:val="00074824"/>
    <w:rsid w:val="00076F00"/>
    <w:rsid w:val="00081F63"/>
    <w:rsid w:val="00082C3D"/>
    <w:rsid w:val="00090F72"/>
    <w:rsid w:val="0009165C"/>
    <w:rsid w:val="00094C4D"/>
    <w:rsid w:val="000B1B31"/>
    <w:rsid w:val="000B2580"/>
    <w:rsid w:val="000B25BC"/>
    <w:rsid w:val="000B2CDC"/>
    <w:rsid w:val="000B42FE"/>
    <w:rsid w:val="000B5282"/>
    <w:rsid w:val="000C1A2F"/>
    <w:rsid w:val="000C44C6"/>
    <w:rsid w:val="000C6257"/>
    <w:rsid w:val="000E00E1"/>
    <w:rsid w:val="000E0ACB"/>
    <w:rsid w:val="000E4519"/>
    <w:rsid w:val="000F0B77"/>
    <w:rsid w:val="00106E0A"/>
    <w:rsid w:val="00110C77"/>
    <w:rsid w:val="00124163"/>
    <w:rsid w:val="0013208E"/>
    <w:rsid w:val="001422E3"/>
    <w:rsid w:val="001533DB"/>
    <w:rsid w:val="00156865"/>
    <w:rsid w:val="00157276"/>
    <w:rsid w:val="0016407B"/>
    <w:rsid w:val="00167B08"/>
    <w:rsid w:val="00181D77"/>
    <w:rsid w:val="00185C6B"/>
    <w:rsid w:val="0019488B"/>
    <w:rsid w:val="00194AE8"/>
    <w:rsid w:val="00197390"/>
    <w:rsid w:val="001975C3"/>
    <w:rsid w:val="001A2FFB"/>
    <w:rsid w:val="001A320B"/>
    <w:rsid w:val="001A73D0"/>
    <w:rsid w:val="001B034C"/>
    <w:rsid w:val="001C243E"/>
    <w:rsid w:val="001D3514"/>
    <w:rsid w:val="001E0E8B"/>
    <w:rsid w:val="001E12C5"/>
    <w:rsid w:val="00200D2B"/>
    <w:rsid w:val="002023D6"/>
    <w:rsid w:val="0021521A"/>
    <w:rsid w:val="00215F99"/>
    <w:rsid w:val="00223445"/>
    <w:rsid w:val="00233250"/>
    <w:rsid w:val="00233382"/>
    <w:rsid w:val="00235C4B"/>
    <w:rsid w:val="002417F3"/>
    <w:rsid w:val="002424C7"/>
    <w:rsid w:val="00245AC8"/>
    <w:rsid w:val="00254916"/>
    <w:rsid w:val="00256720"/>
    <w:rsid w:val="00261C2D"/>
    <w:rsid w:val="0026311B"/>
    <w:rsid w:val="0027234C"/>
    <w:rsid w:val="002723D4"/>
    <w:rsid w:val="00275116"/>
    <w:rsid w:val="00283E27"/>
    <w:rsid w:val="00296BC7"/>
    <w:rsid w:val="002A51C8"/>
    <w:rsid w:val="002A7AB2"/>
    <w:rsid w:val="002B128B"/>
    <w:rsid w:val="002B730A"/>
    <w:rsid w:val="002C1E5A"/>
    <w:rsid w:val="002C5810"/>
    <w:rsid w:val="002D2413"/>
    <w:rsid w:val="002D4099"/>
    <w:rsid w:val="002D505A"/>
    <w:rsid w:val="002D5A24"/>
    <w:rsid w:val="002F00A1"/>
    <w:rsid w:val="002F2C60"/>
    <w:rsid w:val="002F377F"/>
    <w:rsid w:val="002F6C71"/>
    <w:rsid w:val="003103DF"/>
    <w:rsid w:val="00314837"/>
    <w:rsid w:val="00317DFA"/>
    <w:rsid w:val="0032050A"/>
    <w:rsid w:val="00321877"/>
    <w:rsid w:val="00332896"/>
    <w:rsid w:val="003357E1"/>
    <w:rsid w:val="0033786E"/>
    <w:rsid w:val="00342D5D"/>
    <w:rsid w:val="00346E3D"/>
    <w:rsid w:val="00351169"/>
    <w:rsid w:val="0035145D"/>
    <w:rsid w:val="00356776"/>
    <w:rsid w:val="00360BF0"/>
    <w:rsid w:val="00360FDC"/>
    <w:rsid w:val="00366400"/>
    <w:rsid w:val="00373719"/>
    <w:rsid w:val="003738C0"/>
    <w:rsid w:val="00382740"/>
    <w:rsid w:val="00384FBB"/>
    <w:rsid w:val="0038553D"/>
    <w:rsid w:val="0038644E"/>
    <w:rsid w:val="003942B1"/>
    <w:rsid w:val="00394331"/>
    <w:rsid w:val="00394775"/>
    <w:rsid w:val="003B648F"/>
    <w:rsid w:val="003C31C5"/>
    <w:rsid w:val="003D65B0"/>
    <w:rsid w:val="003E369A"/>
    <w:rsid w:val="004022D3"/>
    <w:rsid w:val="00423D21"/>
    <w:rsid w:val="00431804"/>
    <w:rsid w:val="00446E09"/>
    <w:rsid w:val="00464FD9"/>
    <w:rsid w:val="004677AC"/>
    <w:rsid w:val="00483E30"/>
    <w:rsid w:val="00496F27"/>
    <w:rsid w:val="004A1E61"/>
    <w:rsid w:val="004A3698"/>
    <w:rsid w:val="004B2C44"/>
    <w:rsid w:val="004B66EC"/>
    <w:rsid w:val="004C4415"/>
    <w:rsid w:val="004C60F5"/>
    <w:rsid w:val="004D0F12"/>
    <w:rsid w:val="004D57F3"/>
    <w:rsid w:val="004D5FD3"/>
    <w:rsid w:val="004D7ED1"/>
    <w:rsid w:val="004E47CE"/>
    <w:rsid w:val="004F0BD5"/>
    <w:rsid w:val="00504594"/>
    <w:rsid w:val="005110DF"/>
    <w:rsid w:val="005112FD"/>
    <w:rsid w:val="00520359"/>
    <w:rsid w:val="00523EE9"/>
    <w:rsid w:val="0052559F"/>
    <w:rsid w:val="00532EB7"/>
    <w:rsid w:val="00541A8B"/>
    <w:rsid w:val="00541F7F"/>
    <w:rsid w:val="00542560"/>
    <w:rsid w:val="00544893"/>
    <w:rsid w:val="00555D03"/>
    <w:rsid w:val="00565182"/>
    <w:rsid w:val="00567C10"/>
    <w:rsid w:val="0057245F"/>
    <w:rsid w:val="00583CEF"/>
    <w:rsid w:val="00586035"/>
    <w:rsid w:val="005914D2"/>
    <w:rsid w:val="00594C35"/>
    <w:rsid w:val="005A2A3A"/>
    <w:rsid w:val="005B0B50"/>
    <w:rsid w:val="005B35AD"/>
    <w:rsid w:val="005B5146"/>
    <w:rsid w:val="005B6CD6"/>
    <w:rsid w:val="005C1286"/>
    <w:rsid w:val="005E32EB"/>
    <w:rsid w:val="005E38A2"/>
    <w:rsid w:val="005E4AE0"/>
    <w:rsid w:val="005E5E80"/>
    <w:rsid w:val="005F5644"/>
    <w:rsid w:val="00610D83"/>
    <w:rsid w:val="00613EAF"/>
    <w:rsid w:val="006154EA"/>
    <w:rsid w:val="006169AD"/>
    <w:rsid w:val="00621C98"/>
    <w:rsid w:val="00624F36"/>
    <w:rsid w:val="00627CE8"/>
    <w:rsid w:val="00632368"/>
    <w:rsid w:val="006432EF"/>
    <w:rsid w:val="00643767"/>
    <w:rsid w:val="00647330"/>
    <w:rsid w:val="0065138C"/>
    <w:rsid w:val="00655131"/>
    <w:rsid w:val="00657B78"/>
    <w:rsid w:val="00666289"/>
    <w:rsid w:val="00674866"/>
    <w:rsid w:val="006768F4"/>
    <w:rsid w:val="006878D1"/>
    <w:rsid w:val="00690904"/>
    <w:rsid w:val="00692A47"/>
    <w:rsid w:val="00695798"/>
    <w:rsid w:val="0069658D"/>
    <w:rsid w:val="0069785B"/>
    <w:rsid w:val="006A228B"/>
    <w:rsid w:val="006A3E84"/>
    <w:rsid w:val="006A4881"/>
    <w:rsid w:val="006A7D06"/>
    <w:rsid w:val="006B2209"/>
    <w:rsid w:val="006B2C2D"/>
    <w:rsid w:val="006B2CDA"/>
    <w:rsid w:val="006C0A98"/>
    <w:rsid w:val="006C0B25"/>
    <w:rsid w:val="006C53D2"/>
    <w:rsid w:val="006C60EA"/>
    <w:rsid w:val="006D1D5F"/>
    <w:rsid w:val="006E2C53"/>
    <w:rsid w:val="006E595D"/>
    <w:rsid w:val="006F2DDF"/>
    <w:rsid w:val="006F6BFD"/>
    <w:rsid w:val="006F6FF3"/>
    <w:rsid w:val="00700402"/>
    <w:rsid w:val="00702C09"/>
    <w:rsid w:val="00706197"/>
    <w:rsid w:val="0072792D"/>
    <w:rsid w:val="0074128C"/>
    <w:rsid w:val="0075266E"/>
    <w:rsid w:val="0075765D"/>
    <w:rsid w:val="00761EB0"/>
    <w:rsid w:val="0076274D"/>
    <w:rsid w:val="007659DF"/>
    <w:rsid w:val="007747F6"/>
    <w:rsid w:val="00785125"/>
    <w:rsid w:val="007A7BEA"/>
    <w:rsid w:val="007B5CF8"/>
    <w:rsid w:val="007C1800"/>
    <w:rsid w:val="007C7531"/>
    <w:rsid w:val="007D26D1"/>
    <w:rsid w:val="007D6A82"/>
    <w:rsid w:val="007D72BD"/>
    <w:rsid w:val="007E1EAE"/>
    <w:rsid w:val="007E253A"/>
    <w:rsid w:val="007F0E1D"/>
    <w:rsid w:val="007F4EAD"/>
    <w:rsid w:val="007F706E"/>
    <w:rsid w:val="00827FFC"/>
    <w:rsid w:val="00830A40"/>
    <w:rsid w:val="00832779"/>
    <w:rsid w:val="00841607"/>
    <w:rsid w:val="008710A4"/>
    <w:rsid w:val="00877844"/>
    <w:rsid w:val="00881C41"/>
    <w:rsid w:val="00894A52"/>
    <w:rsid w:val="008A2726"/>
    <w:rsid w:val="008A55CC"/>
    <w:rsid w:val="008B381C"/>
    <w:rsid w:val="008B7E99"/>
    <w:rsid w:val="008C207A"/>
    <w:rsid w:val="008C7BF5"/>
    <w:rsid w:val="008D677C"/>
    <w:rsid w:val="008D7752"/>
    <w:rsid w:val="008E16B2"/>
    <w:rsid w:val="008E3BC1"/>
    <w:rsid w:val="008F01AC"/>
    <w:rsid w:val="008F1C75"/>
    <w:rsid w:val="008F23A1"/>
    <w:rsid w:val="00912815"/>
    <w:rsid w:val="00916FCA"/>
    <w:rsid w:val="00932826"/>
    <w:rsid w:val="00937552"/>
    <w:rsid w:val="00941CF3"/>
    <w:rsid w:val="00945086"/>
    <w:rsid w:val="00956F6A"/>
    <w:rsid w:val="009658DF"/>
    <w:rsid w:val="009669F7"/>
    <w:rsid w:val="00984D07"/>
    <w:rsid w:val="00985C64"/>
    <w:rsid w:val="00990AFB"/>
    <w:rsid w:val="009B2758"/>
    <w:rsid w:val="009B3779"/>
    <w:rsid w:val="009B4A76"/>
    <w:rsid w:val="009B4B60"/>
    <w:rsid w:val="009C1BD4"/>
    <w:rsid w:val="009C376A"/>
    <w:rsid w:val="009C780D"/>
    <w:rsid w:val="009C78BC"/>
    <w:rsid w:val="009D07D4"/>
    <w:rsid w:val="009D5A56"/>
    <w:rsid w:val="009E0AAC"/>
    <w:rsid w:val="009E3E5F"/>
    <w:rsid w:val="009E7DCD"/>
    <w:rsid w:val="009F1C00"/>
    <w:rsid w:val="00A0105D"/>
    <w:rsid w:val="00A0425D"/>
    <w:rsid w:val="00A10444"/>
    <w:rsid w:val="00A1766F"/>
    <w:rsid w:val="00A2280C"/>
    <w:rsid w:val="00A25C2A"/>
    <w:rsid w:val="00A26F61"/>
    <w:rsid w:val="00A4014B"/>
    <w:rsid w:val="00A411BF"/>
    <w:rsid w:val="00A41C01"/>
    <w:rsid w:val="00A4417A"/>
    <w:rsid w:val="00A454F7"/>
    <w:rsid w:val="00A50A83"/>
    <w:rsid w:val="00A512A4"/>
    <w:rsid w:val="00A66E14"/>
    <w:rsid w:val="00A72B46"/>
    <w:rsid w:val="00A76840"/>
    <w:rsid w:val="00A814A8"/>
    <w:rsid w:val="00A820AE"/>
    <w:rsid w:val="00A92711"/>
    <w:rsid w:val="00AA04CE"/>
    <w:rsid w:val="00AA64EB"/>
    <w:rsid w:val="00AB7EB8"/>
    <w:rsid w:val="00AD780E"/>
    <w:rsid w:val="00AE10C3"/>
    <w:rsid w:val="00AF6C23"/>
    <w:rsid w:val="00B00824"/>
    <w:rsid w:val="00B00B07"/>
    <w:rsid w:val="00B016CF"/>
    <w:rsid w:val="00B05C48"/>
    <w:rsid w:val="00B06491"/>
    <w:rsid w:val="00B16D8D"/>
    <w:rsid w:val="00B254D9"/>
    <w:rsid w:val="00B26DF7"/>
    <w:rsid w:val="00B31BD8"/>
    <w:rsid w:val="00B3255B"/>
    <w:rsid w:val="00B35C29"/>
    <w:rsid w:val="00B44486"/>
    <w:rsid w:val="00B46104"/>
    <w:rsid w:val="00B94419"/>
    <w:rsid w:val="00BA427E"/>
    <w:rsid w:val="00BB3BB6"/>
    <w:rsid w:val="00BC0824"/>
    <w:rsid w:val="00BC647E"/>
    <w:rsid w:val="00BD132B"/>
    <w:rsid w:val="00BD271B"/>
    <w:rsid w:val="00BD2EB3"/>
    <w:rsid w:val="00BD5BCC"/>
    <w:rsid w:val="00BE19B0"/>
    <w:rsid w:val="00C1066F"/>
    <w:rsid w:val="00C2014D"/>
    <w:rsid w:val="00C328D3"/>
    <w:rsid w:val="00C54ADF"/>
    <w:rsid w:val="00C636B0"/>
    <w:rsid w:val="00C6750E"/>
    <w:rsid w:val="00C83894"/>
    <w:rsid w:val="00C85BE2"/>
    <w:rsid w:val="00C95BFE"/>
    <w:rsid w:val="00CA1717"/>
    <w:rsid w:val="00CA43F6"/>
    <w:rsid w:val="00CB188C"/>
    <w:rsid w:val="00CB33AB"/>
    <w:rsid w:val="00CC2EB1"/>
    <w:rsid w:val="00CC4F02"/>
    <w:rsid w:val="00CC5BA6"/>
    <w:rsid w:val="00CD33A0"/>
    <w:rsid w:val="00CE5884"/>
    <w:rsid w:val="00CE5EDF"/>
    <w:rsid w:val="00CF00ED"/>
    <w:rsid w:val="00CF2E06"/>
    <w:rsid w:val="00CF706B"/>
    <w:rsid w:val="00D04F8C"/>
    <w:rsid w:val="00D14AD5"/>
    <w:rsid w:val="00D229C7"/>
    <w:rsid w:val="00D24E2D"/>
    <w:rsid w:val="00D3182B"/>
    <w:rsid w:val="00D33FB6"/>
    <w:rsid w:val="00D41C16"/>
    <w:rsid w:val="00D6003D"/>
    <w:rsid w:val="00D63FD6"/>
    <w:rsid w:val="00D64EB1"/>
    <w:rsid w:val="00D70BC7"/>
    <w:rsid w:val="00D76FD3"/>
    <w:rsid w:val="00D83F22"/>
    <w:rsid w:val="00DB31EF"/>
    <w:rsid w:val="00DB3EE0"/>
    <w:rsid w:val="00DB5094"/>
    <w:rsid w:val="00DB5DC6"/>
    <w:rsid w:val="00DC2AE1"/>
    <w:rsid w:val="00DC7D52"/>
    <w:rsid w:val="00DE0191"/>
    <w:rsid w:val="00DF3C69"/>
    <w:rsid w:val="00E01208"/>
    <w:rsid w:val="00E03024"/>
    <w:rsid w:val="00E05CE8"/>
    <w:rsid w:val="00E21660"/>
    <w:rsid w:val="00E2187F"/>
    <w:rsid w:val="00E242A7"/>
    <w:rsid w:val="00E27699"/>
    <w:rsid w:val="00E4020D"/>
    <w:rsid w:val="00E47278"/>
    <w:rsid w:val="00E5177C"/>
    <w:rsid w:val="00E71A05"/>
    <w:rsid w:val="00E71C00"/>
    <w:rsid w:val="00E736C5"/>
    <w:rsid w:val="00E75495"/>
    <w:rsid w:val="00E80F0A"/>
    <w:rsid w:val="00E85EA4"/>
    <w:rsid w:val="00E874D6"/>
    <w:rsid w:val="00E93589"/>
    <w:rsid w:val="00E94D9A"/>
    <w:rsid w:val="00E953B4"/>
    <w:rsid w:val="00E976D3"/>
    <w:rsid w:val="00EA17B3"/>
    <w:rsid w:val="00EA30B2"/>
    <w:rsid w:val="00EB27E6"/>
    <w:rsid w:val="00EF1559"/>
    <w:rsid w:val="00EF237A"/>
    <w:rsid w:val="00EF3C91"/>
    <w:rsid w:val="00F02456"/>
    <w:rsid w:val="00F103AF"/>
    <w:rsid w:val="00F14CE5"/>
    <w:rsid w:val="00F15987"/>
    <w:rsid w:val="00F21487"/>
    <w:rsid w:val="00F2317D"/>
    <w:rsid w:val="00F24A5A"/>
    <w:rsid w:val="00F24A80"/>
    <w:rsid w:val="00F258E7"/>
    <w:rsid w:val="00F46AF7"/>
    <w:rsid w:val="00F56D66"/>
    <w:rsid w:val="00F57814"/>
    <w:rsid w:val="00F65E4A"/>
    <w:rsid w:val="00F7018F"/>
    <w:rsid w:val="00F72C5E"/>
    <w:rsid w:val="00F73687"/>
    <w:rsid w:val="00F81E76"/>
    <w:rsid w:val="00F900DF"/>
    <w:rsid w:val="00F905E8"/>
    <w:rsid w:val="00F93EED"/>
    <w:rsid w:val="00F96DD5"/>
    <w:rsid w:val="00FA1F9B"/>
    <w:rsid w:val="00FA2387"/>
    <w:rsid w:val="00FA3D73"/>
    <w:rsid w:val="00FA679C"/>
    <w:rsid w:val="00FA6FB8"/>
    <w:rsid w:val="00FA70E5"/>
    <w:rsid w:val="00FA7889"/>
    <w:rsid w:val="00FB12E9"/>
    <w:rsid w:val="00FB7A53"/>
    <w:rsid w:val="00FC64EA"/>
    <w:rsid w:val="00FC7980"/>
    <w:rsid w:val="00FE0DAB"/>
    <w:rsid w:val="00FE2D6F"/>
    <w:rsid w:val="00FF05CC"/>
    <w:rsid w:val="0119677B"/>
    <w:rsid w:val="03633A29"/>
    <w:rsid w:val="04657F2A"/>
    <w:rsid w:val="05720B50"/>
    <w:rsid w:val="05924D4E"/>
    <w:rsid w:val="06233BF8"/>
    <w:rsid w:val="0692498F"/>
    <w:rsid w:val="06D575E9"/>
    <w:rsid w:val="06DF3FC3"/>
    <w:rsid w:val="073267E9"/>
    <w:rsid w:val="076B3AA9"/>
    <w:rsid w:val="077E71C0"/>
    <w:rsid w:val="08512C9F"/>
    <w:rsid w:val="086D457C"/>
    <w:rsid w:val="088272FC"/>
    <w:rsid w:val="09C1362A"/>
    <w:rsid w:val="0A454A85"/>
    <w:rsid w:val="0A622F41"/>
    <w:rsid w:val="0AE840B8"/>
    <w:rsid w:val="0B2B4068"/>
    <w:rsid w:val="0CA070FC"/>
    <w:rsid w:val="0CBF0B1F"/>
    <w:rsid w:val="0DBE0DD6"/>
    <w:rsid w:val="0F4E7F38"/>
    <w:rsid w:val="0F852F18"/>
    <w:rsid w:val="0FD34EB9"/>
    <w:rsid w:val="0FE21373"/>
    <w:rsid w:val="103B60FE"/>
    <w:rsid w:val="10C36704"/>
    <w:rsid w:val="10E50428"/>
    <w:rsid w:val="120D5E88"/>
    <w:rsid w:val="12C90BBF"/>
    <w:rsid w:val="12E42E72"/>
    <w:rsid w:val="13516249"/>
    <w:rsid w:val="1392577C"/>
    <w:rsid w:val="14C52B8B"/>
    <w:rsid w:val="16DF591A"/>
    <w:rsid w:val="1720665E"/>
    <w:rsid w:val="172A5FC2"/>
    <w:rsid w:val="17832F5D"/>
    <w:rsid w:val="17F81389"/>
    <w:rsid w:val="17FE0021"/>
    <w:rsid w:val="184E2F46"/>
    <w:rsid w:val="18D72D4C"/>
    <w:rsid w:val="19ED457C"/>
    <w:rsid w:val="1A91517D"/>
    <w:rsid w:val="1B2D1349"/>
    <w:rsid w:val="1CC52186"/>
    <w:rsid w:val="1DB4365C"/>
    <w:rsid w:val="1DD957B9"/>
    <w:rsid w:val="1F0D396C"/>
    <w:rsid w:val="1FC748BA"/>
    <w:rsid w:val="204A32ED"/>
    <w:rsid w:val="205F69A4"/>
    <w:rsid w:val="21723F5A"/>
    <w:rsid w:val="23E7405F"/>
    <w:rsid w:val="23F944BF"/>
    <w:rsid w:val="240B5ECF"/>
    <w:rsid w:val="24AC7783"/>
    <w:rsid w:val="250F386E"/>
    <w:rsid w:val="25313EC5"/>
    <w:rsid w:val="25670E64"/>
    <w:rsid w:val="269C7383"/>
    <w:rsid w:val="26A139B9"/>
    <w:rsid w:val="273852FE"/>
    <w:rsid w:val="28357A8F"/>
    <w:rsid w:val="29057462"/>
    <w:rsid w:val="297F0975"/>
    <w:rsid w:val="29826D04"/>
    <w:rsid w:val="298E38FB"/>
    <w:rsid w:val="299B1B74"/>
    <w:rsid w:val="2AD74E2E"/>
    <w:rsid w:val="2AF6306C"/>
    <w:rsid w:val="2CA62020"/>
    <w:rsid w:val="2D145EC5"/>
    <w:rsid w:val="2DB63420"/>
    <w:rsid w:val="2DFD1DFE"/>
    <w:rsid w:val="2E033B70"/>
    <w:rsid w:val="2E571A69"/>
    <w:rsid w:val="2F522CD5"/>
    <w:rsid w:val="30000F2B"/>
    <w:rsid w:val="302428C3"/>
    <w:rsid w:val="30956B59"/>
    <w:rsid w:val="32E4140B"/>
    <w:rsid w:val="333D766D"/>
    <w:rsid w:val="34847DD4"/>
    <w:rsid w:val="34DA12D0"/>
    <w:rsid w:val="353D61D5"/>
    <w:rsid w:val="35F83C6E"/>
    <w:rsid w:val="3668036C"/>
    <w:rsid w:val="36E27034"/>
    <w:rsid w:val="37395C82"/>
    <w:rsid w:val="37DF3574"/>
    <w:rsid w:val="39237490"/>
    <w:rsid w:val="3A0C2C3D"/>
    <w:rsid w:val="3A706705"/>
    <w:rsid w:val="3B201ED9"/>
    <w:rsid w:val="3C9A5CBB"/>
    <w:rsid w:val="3CF33D49"/>
    <w:rsid w:val="3CFD4BC8"/>
    <w:rsid w:val="3DA74B34"/>
    <w:rsid w:val="3E7A3FF6"/>
    <w:rsid w:val="40750F19"/>
    <w:rsid w:val="40ED6D01"/>
    <w:rsid w:val="41016309"/>
    <w:rsid w:val="41D1217F"/>
    <w:rsid w:val="42A90C31"/>
    <w:rsid w:val="42C121F4"/>
    <w:rsid w:val="42E859D2"/>
    <w:rsid w:val="42F705AA"/>
    <w:rsid w:val="439134E8"/>
    <w:rsid w:val="43CB6C29"/>
    <w:rsid w:val="43FB34E3"/>
    <w:rsid w:val="44C9713E"/>
    <w:rsid w:val="452B604A"/>
    <w:rsid w:val="46BC33FE"/>
    <w:rsid w:val="473A0460"/>
    <w:rsid w:val="48945014"/>
    <w:rsid w:val="496D6C31"/>
    <w:rsid w:val="499C12C5"/>
    <w:rsid w:val="4A3634C7"/>
    <w:rsid w:val="4A45370A"/>
    <w:rsid w:val="4B321EE0"/>
    <w:rsid w:val="4B6E6C91"/>
    <w:rsid w:val="4C24476A"/>
    <w:rsid w:val="4C651E28"/>
    <w:rsid w:val="4C8147A2"/>
    <w:rsid w:val="4CF520D9"/>
    <w:rsid w:val="4CFA2330"/>
    <w:rsid w:val="4CFB5359"/>
    <w:rsid w:val="4D7C38E7"/>
    <w:rsid w:val="4E1C4782"/>
    <w:rsid w:val="4E5959D6"/>
    <w:rsid w:val="4EFB083B"/>
    <w:rsid w:val="4F4519D9"/>
    <w:rsid w:val="510232C2"/>
    <w:rsid w:val="51360C13"/>
    <w:rsid w:val="519F5797"/>
    <w:rsid w:val="55C6741E"/>
    <w:rsid w:val="55DE3EF5"/>
    <w:rsid w:val="564451BE"/>
    <w:rsid w:val="59222A32"/>
    <w:rsid w:val="596B0813"/>
    <w:rsid w:val="59C75EEA"/>
    <w:rsid w:val="5A470DD9"/>
    <w:rsid w:val="5AF01470"/>
    <w:rsid w:val="5B342FDB"/>
    <w:rsid w:val="5BB26726"/>
    <w:rsid w:val="5BD97157"/>
    <w:rsid w:val="5BFE5E0F"/>
    <w:rsid w:val="5C3929A3"/>
    <w:rsid w:val="5C4B1054"/>
    <w:rsid w:val="5C853E3A"/>
    <w:rsid w:val="5CC44962"/>
    <w:rsid w:val="5D8B36D2"/>
    <w:rsid w:val="5DC42740"/>
    <w:rsid w:val="5E9E4B8B"/>
    <w:rsid w:val="5F131BD1"/>
    <w:rsid w:val="5F7F1069"/>
    <w:rsid w:val="606A75CF"/>
    <w:rsid w:val="610572F8"/>
    <w:rsid w:val="621357FA"/>
    <w:rsid w:val="622F1A04"/>
    <w:rsid w:val="6343335E"/>
    <w:rsid w:val="63874AB6"/>
    <w:rsid w:val="646F78AA"/>
    <w:rsid w:val="647C5B23"/>
    <w:rsid w:val="64A37553"/>
    <w:rsid w:val="64CF0730"/>
    <w:rsid w:val="64EE77D7"/>
    <w:rsid w:val="655E0612"/>
    <w:rsid w:val="65815AE7"/>
    <w:rsid w:val="672229B1"/>
    <w:rsid w:val="687234C5"/>
    <w:rsid w:val="68CA3301"/>
    <w:rsid w:val="69674FF3"/>
    <w:rsid w:val="69E421A0"/>
    <w:rsid w:val="6C643A6C"/>
    <w:rsid w:val="6CF272CA"/>
    <w:rsid w:val="6E6A5F15"/>
    <w:rsid w:val="6F065F43"/>
    <w:rsid w:val="7022182F"/>
    <w:rsid w:val="70495453"/>
    <w:rsid w:val="70F473F0"/>
    <w:rsid w:val="70F84783"/>
    <w:rsid w:val="71452A98"/>
    <w:rsid w:val="715A570B"/>
    <w:rsid w:val="7315161C"/>
    <w:rsid w:val="73D46CB4"/>
    <w:rsid w:val="74015716"/>
    <w:rsid w:val="74850A24"/>
    <w:rsid w:val="7544268D"/>
    <w:rsid w:val="75812F99"/>
    <w:rsid w:val="75A629FF"/>
    <w:rsid w:val="760360A4"/>
    <w:rsid w:val="76397D18"/>
    <w:rsid w:val="76506014"/>
    <w:rsid w:val="766E5C13"/>
    <w:rsid w:val="76804979"/>
    <w:rsid w:val="7686733F"/>
    <w:rsid w:val="77EE068E"/>
    <w:rsid w:val="77F24622"/>
    <w:rsid w:val="785D59B9"/>
    <w:rsid w:val="78AC2A23"/>
    <w:rsid w:val="78ED1F71"/>
    <w:rsid w:val="79507900"/>
    <w:rsid w:val="79FD6D1F"/>
    <w:rsid w:val="7A2D26ED"/>
    <w:rsid w:val="7A9320F7"/>
    <w:rsid w:val="7C324FED"/>
    <w:rsid w:val="7C8810B1"/>
    <w:rsid w:val="7D423956"/>
    <w:rsid w:val="7EC2166F"/>
    <w:rsid w:val="7FBD3767"/>
    <w:rsid w:val="7FF32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360" w:lineRule="auto"/>
      <w:textAlignment w:val="baseline"/>
    </w:pPr>
    <w:rPr>
      <w:rFonts w:ascii="Times New Roman" w:hAnsi="Times New Roman" w:eastAsia="仿宋_GB2312" w:cs="Arial"/>
      <w:snapToGrid w:val="0"/>
      <w:color w:val="000000"/>
      <w:sz w:val="28"/>
      <w:szCs w:val="21"/>
      <w:lang w:val="en-US" w:eastAsia="en-US" w:bidi="ar-SA"/>
    </w:rPr>
  </w:style>
  <w:style w:type="paragraph" w:styleId="3">
    <w:name w:val="heading 1"/>
    <w:basedOn w:val="1"/>
    <w:next w:val="1"/>
    <w:qFormat/>
    <w:uiPriority w:val="0"/>
    <w:pPr>
      <w:keepNext/>
      <w:keepLines/>
      <w:autoSpaceDE/>
      <w:autoSpaceDN/>
      <w:snapToGrid/>
      <w:spacing w:before="50" w:beforeLines="50" w:after="50" w:afterLines="50" w:line="240" w:lineRule="auto"/>
      <w:ind w:firstLine="880" w:firstLineChars="200"/>
      <w:outlineLvl w:val="0"/>
    </w:pPr>
    <w:rPr>
      <w:rFonts w:eastAsia="黑体"/>
      <w:kern w:val="44"/>
    </w:rPr>
  </w:style>
  <w:style w:type="paragraph" w:styleId="4">
    <w:name w:val="heading 2"/>
    <w:next w:val="1"/>
    <w:link w:val="17"/>
    <w:unhideWhenUsed/>
    <w:qFormat/>
    <w:uiPriority w:val="9"/>
    <w:pPr>
      <w:keepNext/>
      <w:keepLines/>
      <w:snapToGrid w:val="0"/>
      <w:spacing w:line="360" w:lineRule="auto"/>
      <w:ind w:left="0" w:right="2517" w:firstLine="883" w:firstLineChars="200"/>
      <w:outlineLvl w:val="1"/>
    </w:pPr>
    <w:rPr>
      <w:rFonts w:ascii="黑体" w:hAnsi="黑体" w:eastAsia="楷体" w:cs="黑体"/>
      <w:color w:val="000000"/>
      <w:kern w:val="2"/>
      <w:sz w:val="28"/>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napToGrid w:val="0"/>
      <w:spacing w:line="360" w:lineRule="auto"/>
    </w:pPr>
    <w:rPr>
      <w:rFonts w:ascii="Times New Roman" w:hAnsi="Times New Roman" w:eastAsia="仿宋_GB2312"/>
      <w:sz w:val="28"/>
    </w:rPr>
  </w:style>
  <w:style w:type="paragraph" w:styleId="5">
    <w:name w:val="Date"/>
    <w:basedOn w:val="1"/>
    <w:next w:val="1"/>
    <w:link w:val="20"/>
    <w:qFormat/>
    <w:uiPriority w:val="0"/>
    <w:pPr>
      <w:ind w:left="100" w:leftChars="2500"/>
    </w:pPr>
  </w:style>
  <w:style w:type="paragraph" w:styleId="6">
    <w:name w:val="Balloon Text"/>
    <w:basedOn w:val="1"/>
    <w:link w:val="15"/>
    <w:qFormat/>
    <w:uiPriority w:val="0"/>
    <w:rPr>
      <w:sz w:val="18"/>
      <w:szCs w:val="18"/>
    </w:rPr>
  </w:style>
  <w:style w:type="paragraph" w:styleId="7">
    <w:name w:val="footer"/>
    <w:basedOn w:val="1"/>
    <w:link w:val="14"/>
    <w:qFormat/>
    <w:uiPriority w:val="99"/>
    <w:pPr>
      <w:tabs>
        <w:tab w:val="center" w:pos="4153"/>
        <w:tab w:val="right" w:pos="8306"/>
      </w:tabs>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9">
    <w:name w:val="Title"/>
    <w:basedOn w:val="1"/>
    <w:next w:val="1"/>
    <w:link w:val="21"/>
    <w:qFormat/>
    <w:uiPriority w:val="10"/>
    <w:pPr>
      <w:widowControl w:val="0"/>
      <w:kinsoku/>
      <w:autoSpaceDE/>
      <w:autoSpaceDN/>
      <w:adjustRightInd/>
      <w:snapToGrid/>
      <w:spacing w:line="360" w:lineRule="auto"/>
      <w:jc w:val="both"/>
      <w:textAlignment w:val="auto"/>
      <w:outlineLvl w:val="0"/>
    </w:pPr>
    <w:rPr>
      <w:rFonts w:ascii="Times New Roman" w:hAnsi="Times New Roman" w:eastAsia="仿宋" w:cstheme="majorBidi"/>
      <w:bCs/>
      <w:snapToGrid/>
      <w:color w:val="auto"/>
      <w:kern w:val="2"/>
      <w:sz w:val="24"/>
      <w:szCs w:val="32"/>
      <w:lang w:eastAsia="zh-CN"/>
    </w:rPr>
  </w:style>
  <w:style w:type="table" w:styleId="11">
    <w:name w:val="Table Grid"/>
    <w:basedOn w:val="10"/>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2"/>
    <w:tblPr>
      <w:tblCellMar>
        <w:top w:w="0" w:type="dxa"/>
        <w:left w:w="0" w:type="dxa"/>
        <w:bottom w:w="0" w:type="dxa"/>
        <w:right w:w="0" w:type="dxa"/>
      </w:tblCellMar>
    </w:tblPr>
  </w:style>
  <w:style w:type="character" w:customStyle="1" w:styleId="14">
    <w:name w:val="页脚 字符"/>
    <w:basedOn w:val="12"/>
    <w:link w:val="7"/>
    <w:qFormat/>
    <w:uiPriority w:val="99"/>
    <w:rPr>
      <w:rFonts w:ascii="Arial" w:hAnsi="Arial" w:eastAsia="Arial" w:cs="Arial"/>
      <w:snapToGrid w:val="0"/>
      <w:color w:val="000000"/>
      <w:sz w:val="18"/>
      <w:szCs w:val="18"/>
      <w:lang w:eastAsia="en-US"/>
    </w:rPr>
  </w:style>
  <w:style w:type="character" w:customStyle="1" w:styleId="15">
    <w:name w:val="批注框文本 字符"/>
    <w:basedOn w:val="12"/>
    <w:link w:val="6"/>
    <w:qFormat/>
    <w:uiPriority w:val="0"/>
    <w:rPr>
      <w:rFonts w:ascii="Arial" w:hAnsi="Arial" w:eastAsia="Arial" w:cs="Arial"/>
      <w:snapToGrid w:val="0"/>
      <w:color w:val="000000"/>
      <w:sz w:val="18"/>
      <w:szCs w:val="18"/>
      <w:lang w:eastAsia="en-US"/>
    </w:rPr>
  </w:style>
  <w:style w:type="paragraph" w:styleId="16">
    <w:name w:val="List Paragraph"/>
    <w:basedOn w:val="1"/>
    <w:unhideWhenUsed/>
    <w:qFormat/>
    <w:uiPriority w:val="99"/>
    <w:pPr>
      <w:ind w:firstLine="420" w:firstLineChars="200"/>
    </w:pPr>
  </w:style>
  <w:style w:type="character" w:customStyle="1" w:styleId="17">
    <w:name w:val="标题 2 字符"/>
    <w:basedOn w:val="12"/>
    <w:link w:val="4"/>
    <w:qFormat/>
    <w:uiPriority w:val="9"/>
    <w:rPr>
      <w:rFonts w:ascii="黑体" w:hAnsi="黑体" w:eastAsia="楷体" w:cs="黑体"/>
      <w:color w:val="000000"/>
      <w:kern w:val="2"/>
      <w:sz w:val="28"/>
      <w:szCs w:val="22"/>
    </w:rPr>
  </w:style>
  <w:style w:type="table" w:customStyle="1" w:styleId="18">
    <w:name w:val="Table Normal1"/>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19">
    <w:name w:val="Table Text"/>
    <w:basedOn w:val="1"/>
    <w:semiHidden/>
    <w:qFormat/>
    <w:uiPriority w:val="0"/>
    <w:pPr>
      <w:widowControl w:val="0"/>
      <w:kinsoku/>
      <w:autoSpaceDE/>
      <w:autoSpaceDN/>
      <w:adjustRightInd/>
      <w:snapToGrid/>
      <w:jc w:val="both"/>
      <w:textAlignment w:val="auto"/>
    </w:pPr>
    <w:rPr>
      <w:rFonts w:ascii="宋体" w:hAnsi="宋体" w:eastAsia="宋体" w:cs="宋体"/>
      <w:snapToGrid/>
      <w:color w:val="auto"/>
      <w:kern w:val="2"/>
    </w:rPr>
  </w:style>
  <w:style w:type="character" w:customStyle="1" w:styleId="20">
    <w:name w:val="日期 字符"/>
    <w:basedOn w:val="12"/>
    <w:link w:val="5"/>
    <w:qFormat/>
    <w:uiPriority w:val="0"/>
    <w:rPr>
      <w:rFonts w:ascii="Arial" w:hAnsi="Arial" w:eastAsia="Arial" w:cs="Arial"/>
      <w:snapToGrid w:val="0"/>
      <w:color w:val="000000"/>
      <w:sz w:val="21"/>
      <w:szCs w:val="21"/>
      <w:lang w:eastAsia="en-US"/>
    </w:rPr>
  </w:style>
  <w:style w:type="character" w:customStyle="1" w:styleId="21">
    <w:name w:val="标题 字符"/>
    <w:basedOn w:val="12"/>
    <w:link w:val="9"/>
    <w:qFormat/>
    <w:uiPriority w:val="10"/>
    <w:rPr>
      <w:rFonts w:eastAsia="仿宋" w:cstheme="majorBidi"/>
      <w:bCs/>
      <w:kern w:val="2"/>
      <w:sz w:val="24"/>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ef7626d5-6c21-4bdf-a1b1-f5d520111bf0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1A6FC2E7</paraID>
      <start>15</start>
      <end>16</end>
      <status>unmodified</status>
      <modifiedWord/>
      <trackRevisions>false</trackRevisions>
    </reviewItem>
    <reviewItem>
      <errorID>40ffafbb-4202-48b2-9588-8b74ab4b36c1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56E46FE2</paraID>
      <start>0</start>
      <end>2</end>
      <status>unmodified</status>
      <modifiedWord/>
      <trackRevisions>false</trackRevisions>
    </reviewItem>
    <reviewItem>
      <errorID>c2704c77-187e-420e-8716-59edcd033f38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57A006EE</paraID>
      <start>0</start>
      <end>2</end>
      <status>unmodified</status>
      <modifiedWord/>
      <trackRevisions>false</trackRevisions>
    </reviewItem>
    <reviewItem>
      <errorID>435f2bbf-b910-44f0-b1e7-b6a3481d9319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5EDCEF8A</paraID>
      <start>0</start>
      <end>2</end>
      <status>unmodified</status>
      <modifiedWord/>
      <trackRevisions>false</trackRevisions>
    </reviewItem>
    <reviewItem>
      <errorID>f4dcf967-d19b-44e0-aa55-21e7d9ff166e</errorID>
      <errorWord>线</errorWord>
      <group>L1_Word</group>
      <groupName>字词问题</groupName>
      <ability>L2_Typo</ability>
      <abilityName>字词错误</abilityName>
      <candidateList>
        <item>巡</item>
      </candidateList>
      <explain/>
      <paraID>5EDCEF8A</paraID>
      <start>7</start>
      <end>8</end>
      <status>unmodified</status>
      <modifiedWord/>
      <trackRevisions>false</trackRevisions>
    </reviewItem>
    <reviewItem>
      <errorID>2eee238e-0aed-4637-89fb-6092243b3475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1939FCA6</paraID>
      <start>0</start>
      <end>2</end>
      <status>unmodified</status>
      <modifiedWord/>
      <trackRevisions>false</trackRevisions>
    </reviewItem>
    <reviewItem>
      <errorID>44067c0e-da51-41c3-bfc2-e6dc1c083b89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731B9718</paraID>
      <start>0</start>
      <end>2</end>
      <status>unmodified</status>
      <modifiedWord/>
      <trackRevisions>false</trackRevisions>
    </reviewItem>
    <reviewItem>
      <errorID>b49355df-a12c-4b06-bbe2-0930e4d08e4a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7D62DA9A</paraID>
      <start>0</start>
      <end>2</end>
      <status>unmodified</status>
      <modifiedWord/>
      <trackRevisions>false</trackRevisions>
    </reviewItem>
    <reviewItem>
      <errorID>7aef4fde-b666-4854-a6a8-a0fb0a1a975c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EE4FC6D</paraID>
      <start>0</start>
      <end>2</end>
      <status>unmodified</status>
      <modifiedWord/>
      <trackRevisions>false</trackRevisions>
    </reviewItem>
    <reviewItem>
      <errorID>a4e23b6f-a308-4ad4-8655-d42dcab30c7a</errorID>
      <errorWord>线</errorWord>
      <group>L1_Word</group>
      <groupName>字词问题</groupName>
      <ability>L2_Typo</ability>
      <abilityName>字词错误</abilityName>
      <candidateList>
        <item>巡</item>
      </candidateList>
      <explain/>
      <paraID> EE4FC6D</paraID>
      <start>7</start>
      <end>8</end>
      <status>unmodified</status>
      <modifiedWord/>
      <trackRevisions>false</trackRevisions>
    </reviewItem>
    <reviewItem>
      <errorID>7edba076-4880-4484-b874-a7943f7b2b1e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1CE52570</paraID>
      <start>0</start>
      <end>2</end>
      <status>unmodified</status>
      <modifiedWord/>
      <trackRevisions>false</trackRevisions>
    </reviewItem>
    <reviewItem>
      <errorID>a2dfae52-7700-41f9-9268-1636cad677e0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5D3EE19F</paraID>
      <start>0</start>
      <end>2</end>
      <status>unmodified</status>
      <modifiedWord/>
      <trackRevisions>false</trackRevisions>
    </reviewItem>
    <reviewItem>
      <errorID>503269c2-08de-4eac-b8d5-24b0850d5007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570AD819</paraID>
      <start>0</start>
      <end>2</end>
      <status>unmodified</status>
      <modifiedWord/>
      <trackRevisions>false</trackRevisions>
    </reviewItem>
    <reviewItem>
      <errorID>8f72c659-2c09-4d5e-8a04-1efab9c8a72f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5EB457B9</paraID>
      <start>0</start>
      <end>2</end>
      <status>unmodified</status>
      <modifiedWord/>
      <trackRevisions>false</trackRevisions>
    </reviewItem>
    <reviewItem>
      <errorID>cb07cbab-e7d8-4d76-b66f-d8c1e9ab3374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2027A716</paraID>
      <start>0</start>
      <end>2</end>
      <status>unmodified</status>
      <modifiedWord/>
      <trackRevisions>false</trackRevisions>
    </reviewItem>
    <reviewItem>
      <errorID>bcb067d3-5c64-480c-8916-4cfe29447042</errorID>
      <errorWord>线</errorWord>
      <group>L1_Word</group>
      <groupName>字词问题</groupName>
      <ability>L2_Typo</ability>
      <abilityName>字词错误</abilityName>
      <candidateList>
        <item>巡</item>
      </candidateList>
      <explain/>
      <paraID>2027A716</paraID>
      <start>7</start>
      <end>8</end>
      <status>unmodified</status>
      <modifiedWord/>
      <trackRevisions>false</trackRevisions>
    </reviewItem>
    <reviewItem>
      <errorID>a1bc5079-b965-4e7a-a9fb-afc9872cdf50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4BA918CB</paraID>
      <start>19</start>
      <end>20</end>
      <status>unmodified</status>
      <modifiedWord/>
      <trackRevisions>false</trackRevisions>
    </reviewItem>
    <reviewItem>
      <errorID>de777ca2-fbc6-487f-8a31-a718ea7bdda7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4F3B9FC8</paraID>
      <start>48</start>
      <end>49</end>
      <status>unmodified</status>
      <modifiedWord/>
      <trackRevisions>false</trackRevisions>
    </reviewItem>
    <reviewItem>
      <errorID>c86d5a5c-4675-44d1-b562-81ab33c00561</errorID>
      <errorWord>依据依据</errorWord>
      <group>L1_Word</group>
      <groupName>字词问题</groupName>
      <ability>L2_Typo</ability>
      <abilityName>字词错误</abilityName>
      <candidateList>
        <item>依据</item>
      </candidateList>
      <explain/>
      <paraID>275F7163</paraID>
      <start>4</start>
      <end>8</end>
      <status>unmodified</status>
      <modifiedWord/>
      <trackRevisions>false</trackRevisions>
    </reviewItem>
    <reviewItem>
      <errorID>1f169dd5-7260-4133-931e-e182ceed9543</errorID>
      <errorWord>接受</errorWord>
      <group>L1_Word</group>
      <groupName>字词问题</groupName>
      <ability>L2_Typo</ability>
      <abilityName>字词错误</abilityName>
      <candidateList>
        <item>接收</item>
      </candidateList>
      <explain/>
      <paraID>2487421D</paraID>
      <start>9</start>
      <end>11</end>
      <status>unmodified</status>
      <modifiedWord/>
      <trackRevisions>false</trackRevisions>
    </reviewItem>
    <reviewItem>
      <errorID>4d9abfee-3f17-42d4-9453-ff67d2893e4e</errorID>
      <errorWord>其它未</errorWord>
      <group>L1_Word</group>
      <groupName>字词问题</groupName>
      <ability>L2_Alias</ability>
      <abilityName>也作/曾用词</abilityName>
      <candidateList>
        <item>其他未</item>
      </candidateList>
      <explain>词汇[其它未]为不规范表述或旧称，其规范书面表述为[其他未]。</explain>
      <paraID>56631AF0</paraID>
      <start>2</start>
      <end>5</end>
      <status>unmodified</status>
      <modifiedWord/>
      <trackRevisions>false</trackRevisions>
    </reviewItem>
    <reviewItem>
      <errorID>60a73048-9400-4677-92a2-5448f80ea184</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628FAD40</paraID>
      <start>0</start>
      <end>3</end>
      <status>unmodified</status>
      <modifiedWord/>
      <trackRevisions>false</trackRevisions>
    </reviewItem>
    <reviewItem>
      <errorID>99604116-90c0-4790-b331-cd5fbe058dda</errorID>
      <errorWord>(</errorWord>
      <group>L1_Format</group>
      <groupName>格式问题</groupName>
      <ability>L2_HalfPunc_CN</ability>
      <abilityName>全半角问题</abilityName>
      <candidateList>
        <item>（</item>
      </candidateList>
      <explain>文本全半角错误。</explain>
      <paraID>3CF6666A</paraID>
      <start>8</start>
      <end>9</end>
      <status>unmodified</status>
      <modifiedWord/>
      <trackRevisions>false</trackRevisions>
    </reviewItem>
    <reviewItem>
      <errorID>1653d41c-c70c-4744-b448-176738fd289d</errorID>
      <errorWord>)</errorWord>
      <group>L1_Format</group>
      <groupName>格式问题</groupName>
      <ability>L2_HalfPunc_CN</ability>
      <abilityName>全半角问题</abilityName>
      <candidateList>
        <item>）</item>
      </candidateList>
      <explain>文本全半角错误。</explain>
      <paraID>3CF6666A</paraID>
      <start>33</start>
      <end>34</end>
      <status>unmodified</status>
      <modifiedWord/>
      <trackRevisions>false</trackRevisions>
    </reviewItem>
    <reviewItem>
      <errorID>24442396-3ede-44d9-865d-87fb0e12dae9</errorID>
      <errorWord>(</errorWord>
      <group>L1_Format</group>
      <groupName>格式问题</groupName>
      <ability>L2_HalfPunc_CN</ability>
      <abilityName>全半角问题</abilityName>
      <candidateList>
        <item>（</item>
      </candidateList>
      <explain>文本全半角错误。</explain>
      <paraID>53C3B524</paraID>
      <start>24</start>
      <end>25</end>
      <status>unmodified</status>
      <modifiedWord/>
      <trackRevisions>false</trackRevisions>
    </reviewItem>
    <reviewItem>
      <errorID>16df4dd7-6a1a-49e9-8510-b97d4894d1e1</errorID>
      <errorWord>)</errorWord>
      <group>L1_Format</group>
      <groupName>格式问题</groupName>
      <ability>L2_HalfPunc_CN</ability>
      <abilityName>全半角问题</abilityName>
      <candidateList>
        <item>）</item>
      </candidateList>
      <explain>文本全半角错误。</explain>
      <paraID>53C3B524</paraID>
      <start>32</start>
      <end>33</end>
      <status>unmodified</status>
      <modifiedWord/>
      <trackRevisions>false</trackRevisions>
    </reviewItem>
    <reviewItem>
      <errorID>d19f7a8c-e6a7-46bf-b64e-3c1eac12b297</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3028255A</paraID>
      <start>0</start>
      <end>3</end>
      <status>unmodified</status>
      <modifiedWord/>
      <trackRevisions>false</trackRevisions>
    </reviewItem>
    <reviewItem>
      <errorID>0fbc525b-faab-4cd3-b554-ec85d29ca15f</errorID>
      <errorWord>意</errorWord>
      <group>L1_Word</group>
      <groupName>字词问题</groupName>
      <ability>L2_Typo</ability>
      <abilityName>字词错误</abilityName>
      <candidateList>
        <item>意进</item>
      </candidateList>
      <explain/>
      <paraID>675356F6</paraID>
      <start>13</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BBC870-3D22-4ECF-A955-2A7D00845AB5}">
  <ds:schemaRefs/>
</ds:datastoreItem>
</file>

<file path=customXml/itemProps3.xml><?xml version="1.0" encoding="utf-8"?>
<ds:datastoreItem xmlns:ds="http://schemas.openxmlformats.org/officeDocument/2006/customXml" ds:itemID="{50608814-7bb7-4307-914f-c8bbf8cda39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2022</Words>
  <Characters>2159</Characters>
  <Lines>33</Lines>
  <Paragraphs>9</Paragraphs>
  <TotalTime>82</TotalTime>
  <ScaleCrop>false</ScaleCrop>
  <LinksUpToDate>false</LinksUpToDate>
  <CharactersWithSpaces>2161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2026-09-03T10:32:00Z</dcterms:created>
  <dc:creator>zhang</dc:creator>
  <cp:lastModifiedBy>娃娃如</cp:lastModifiedBy>
  <cp:lastPrinted>2026-09-09T01:06:00Z</cp:lastPrinted>
  <dcterms:modified xsi:type="dcterms:W3CDTF">2026-09-10T00:58:57Z</dcterms:modified>
  <dc:title>维修电工竞赛技术纲要</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2023-09-19T16:46:18Z</vt:filetime>
  </property>
  <property fmtid="{D5CDD505-2E9C-101B-9397-08002B2CF9AE}" pid="4" name="KSOProductBuildVer">
    <vt:lpwstr>2052-12.1.0.28505</vt:lpwstr>
  </property>
  <property fmtid="{D5CDD505-2E9C-101B-9397-08002B2CF9AE}" pid="5" name="ICV">
    <vt:lpwstr>BE8E78C606FA4ED6B6062D755969FC6A_13</vt:lpwstr>
  </property>
  <property fmtid="{D5CDD505-2E9C-101B-9397-08002B2CF9AE}" pid="6" name="KSOTemplateDocerSaveRecord">
    <vt:lpwstr>eyJoZGlkIjoiNDExODk5NjcwYzk5MDUxN2U0MGVhMzIxMDU0OTBlNDYiLCJ1c2VySWQiOiI3NDE4NzYifQ==</vt:lpwstr>
  </property>
</Properties>
</file>